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5F" w:rsidRDefault="00E3655F" w:rsidP="00E3655F">
      <w:pPr>
        <w:ind w:firstLineChars="500" w:firstLine="31680"/>
        <w:jc w:val="center"/>
        <w:rPr>
          <w:rFonts w:ascii="黑体" w:eastAsia="黑体" w:hAnsi="黑体" w:cs="Times New Roman"/>
          <w:sz w:val="32"/>
          <w:szCs w:val="32"/>
        </w:rPr>
      </w:pPr>
      <w:r w:rsidRPr="00E45083">
        <w:rPr>
          <w:rFonts w:ascii="黑体" w:eastAsia="黑体" w:hAnsi="黑体" w:cs="黑体" w:hint="eastAsia"/>
          <w:sz w:val="32"/>
          <w:szCs w:val="32"/>
        </w:rPr>
        <w:t>《绿色食品龙牙百合生产技术规程》</w:t>
      </w:r>
      <w:r>
        <w:rPr>
          <w:rFonts w:ascii="黑体" w:eastAsia="黑体" w:hAnsi="黑体" w:cs="黑体" w:hint="eastAsia"/>
          <w:sz w:val="32"/>
          <w:szCs w:val="32"/>
        </w:rPr>
        <w:t>（</w:t>
      </w:r>
      <w:r>
        <w:rPr>
          <w:rFonts w:ascii="黑体" w:eastAsia="黑体" w:hAnsi="黑体" w:cs="黑体"/>
          <w:sz w:val="32"/>
          <w:szCs w:val="32"/>
        </w:rPr>
        <w:t>DB36/TXXX-XXXX</w:t>
      </w:r>
      <w:r>
        <w:rPr>
          <w:rFonts w:ascii="黑体" w:eastAsia="黑体" w:hAnsi="黑体" w:cs="黑体" w:hint="eastAsia"/>
          <w:sz w:val="32"/>
          <w:szCs w:val="32"/>
        </w:rPr>
        <w:t>）</w:t>
      </w:r>
      <w:r w:rsidRPr="00E45083">
        <w:rPr>
          <w:rFonts w:ascii="黑体" w:eastAsia="黑体" w:hAnsi="黑体" w:cs="黑体" w:hint="eastAsia"/>
          <w:sz w:val="32"/>
          <w:szCs w:val="32"/>
        </w:rPr>
        <w:t>江西省地方标准编制说明</w:t>
      </w:r>
    </w:p>
    <w:p w:rsidR="00E3655F" w:rsidRPr="00E45083" w:rsidRDefault="00E3655F" w:rsidP="00E45083">
      <w:pPr>
        <w:ind w:firstLineChars="750" w:firstLine="31680"/>
        <w:rPr>
          <w:rFonts w:ascii="黑体" w:eastAsia="黑体" w:hAnsi="黑体" w:cs="Times New Roman"/>
          <w:sz w:val="32"/>
          <w:szCs w:val="32"/>
        </w:rPr>
      </w:pPr>
    </w:p>
    <w:p w:rsidR="00E3655F" w:rsidRDefault="00E3655F">
      <w:pPr>
        <w:rPr>
          <w:rFonts w:ascii="宋体" w:cs="Times New Roman"/>
          <w:b/>
          <w:bCs/>
          <w:sz w:val="30"/>
          <w:szCs w:val="30"/>
        </w:rPr>
      </w:pPr>
      <w:r>
        <w:rPr>
          <w:rFonts w:ascii="宋体" w:hAnsi="宋体" w:cs="宋体" w:hint="eastAsia"/>
          <w:b/>
          <w:bCs/>
          <w:sz w:val="30"/>
          <w:szCs w:val="30"/>
        </w:rPr>
        <w:t>一、编制本标准的目的、意义</w:t>
      </w:r>
    </w:p>
    <w:p w:rsidR="00E3655F" w:rsidRDefault="00E3655F" w:rsidP="00E45083">
      <w:pPr>
        <w:pStyle w:val="NormalWeb"/>
        <w:shd w:val="clear" w:color="auto" w:fill="FFFFFF"/>
        <w:spacing w:before="0" w:beforeAutospacing="0" w:after="0" w:afterAutospacing="0" w:line="336" w:lineRule="atLeast"/>
        <w:ind w:firstLineChars="250" w:firstLine="31680"/>
        <w:rPr>
          <w:rFonts w:cs="Times New Roman"/>
          <w:b/>
          <w:bCs/>
          <w:sz w:val="28"/>
          <w:szCs w:val="28"/>
        </w:rPr>
      </w:pPr>
      <w:r>
        <w:rPr>
          <w:rFonts w:hint="eastAsia"/>
          <w:b/>
          <w:bCs/>
          <w:sz w:val="28"/>
          <w:szCs w:val="28"/>
        </w:rPr>
        <w:t>龙牙百合属百合科百合属的多年生草本植物，龙牙百合全身都是宝，据我国著名的医药典籍，如《本草纲目》、《中药大辞典》、《抗癌本草》等文献记载，龙牙百合对人体有补中益气、补脑安神、养阴润肺、清咽润喉、止咳平喘、抗衰老、防癌抗癌以及提高人体免疫力等功效</w:t>
      </w:r>
      <w:r>
        <w:rPr>
          <w:b/>
          <w:bCs/>
          <w:sz w:val="28"/>
          <w:szCs w:val="28"/>
        </w:rPr>
        <w:t>,</w:t>
      </w:r>
      <w:r>
        <w:rPr>
          <w:rFonts w:hint="eastAsia"/>
          <w:b/>
          <w:bCs/>
          <w:sz w:val="28"/>
          <w:szCs w:val="28"/>
        </w:rPr>
        <w:t>万载县龙牙百合种植历史可追溯至宋代，</w:t>
      </w:r>
      <w:r>
        <w:rPr>
          <w:b/>
          <w:bCs/>
          <w:sz w:val="28"/>
          <w:szCs w:val="28"/>
        </w:rPr>
        <w:t>500</w:t>
      </w:r>
      <w:r>
        <w:rPr>
          <w:rFonts w:hint="eastAsia"/>
          <w:b/>
          <w:bCs/>
          <w:sz w:val="28"/>
          <w:szCs w:val="28"/>
        </w:rPr>
        <w:t>多年的种植百合历史，是万载久负盛名的物产，是我国三大百合产地之一，有“百合故里”、“百合之乡”的美誉，尤以龙牙百合久负盛名。据《万载县志》记载：万载县龙牙百合，从宋朝开始就是历代朝庭贡品。</w:t>
      </w:r>
      <w:r>
        <w:rPr>
          <w:b/>
          <w:bCs/>
          <w:sz w:val="28"/>
          <w:szCs w:val="28"/>
        </w:rPr>
        <w:t>1959</w:t>
      </w:r>
      <w:r>
        <w:rPr>
          <w:rFonts w:hint="eastAsia"/>
          <w:b/>
          <w:bCs/>
          <w:sz w:val="28"/>
          <w:szCs w:val="28"/>
        </w:rPr>
        <w:t>年和</w:t>
      </w:r>
      <w:r>
        <w:rPr>
          <w:b/>
          <w:bCs/>
          <w:sz w:val="28"/>
          <w:szCs w:val="28"/>
        </w:rPr>
        <w:t>1970</w:t>
      </w:r>
      <w:r>
        <w:rPr>
          <w:rFonts w:hint="eastAsia"/>
          <w:b/>
          <w:bCs/>
          <w:sz w:val="28"/>
          <w:szCs w:val="28"/>
        </w:rPr>
        <w:t>年两次中央庐山会议，都调用了万载龙牙百合粉。</w:t>
      </w:r>
      <w:r>
        <w:rPr>
          <w:b/>
          <w:bCs/>
          <w:sz w:val="28"/>
          <w:szCs w:val="28"/>
        </w:rPr>
        <w:t>1999</w:t>
      </w:r>
      <w:r>
        <w:rPr>
          <w:rFonts w:hint="eastAsia"/>
          <w:b/>
          <w:bCs/>
          <w:sz w:val="28"/>
          <w:szCs w:val="28"/>
        </w:rPr>
        <w:t>年</w:t>
      </w:r>
      <w:r>
        <w:rPr>
          <w:b/>
          <w:bCs/>
          <w:sz w:val="28"/>
          <w:szCs w:val="28"/>
        </w:rPr>
        <w:t>12</w:t>
      </w:r>
      <w:r>
        <w:rPr>
          <w:rFonts w:hint="eastAsia"/>
          <w:b/>
          <w:bCs/>
          <w:sz w:val="28"/>
          <w:szCs w:val="28"/>
        </w:rPr>
        <w:t>月，万载龙牙百合在中国“</w:t>
      </w:r>
      <w:r>
        <w:rPr>
          <w:b/>
          <w:bCs/>
          <w:sz w:val="28"/>
          <w:szCs w:val="28"/>
        </w:rPr>
        <w:t>99</w:t>
      </w:r>
      <w:hyperlink r:id="rId7" w:tgtFrame="_blank" w:history="1">
        <w:r>
          <w:rPr>
            <w:rStyle w:val="Hyperlink"/>
            <w:rFonts w:hint="eastAsia"/>
            <w:b/>
            <w:bCs/>
            <w:color w:val="auto"/>
            <w:sz w:val="28"/>
            <w:szCs w:val="28"/>
            <w:u w:val="none"/>
          </w:rPr>
          <w:t>昆明</w:t>
        </w:r>
      </w:hyperlink>
      <w:r>
        <w:rPr>
          <w:rFonts w:hint="eastAsia"/>
          <w:b/>
          <w:bCs/>
          <w:sz w:val="28"/>
          <w:szCs w:val="28"/>
        </w:rPr>
        <w:t>世界园艺博览会上获得参赛奖”。龙牙百合产品市场前景十分看好。近年来，万载县十分重视龙牙百合的发展，龙牙百合种植面积每年稳定在</w:t>
      </w:r>
      <w:r>
        <w:rPr>
          <w:b/>
          <w:bCs/>
          <w:sz w:val="28"/>
          <w:szCs w:val="28"/>
        </w:rPr>
        <w:t>1</w:t>
      </w:r>
      <w:r>
        <w:rPr>
          <w:rFonts w:hint="eastAsia"/>
          <w:b/>
          <w:bCs/>
          <w:sz w:val="28"/>
          <w:szCs w:val="28"/>
        </w:rPr>
        <w:t>万到</w:t>
      </w:r>
      <w:r>
        <w:rPr>
          <w:b/>
          <w:bCs/>
          <w:sz w:val="28"/>
          <w:szCs w:val="28"/>
        </w:rPr>
        <w:t>1.6</w:t>
      </w:r>
      <w:r>
        <w:rPr>
          <w:rFonts w:hint="eastAsia"/>
          <w:b/>
          <w:bCs/>
          <w:sz w:val="28"/>
          <w:szCs w:val="28"/>
        </w:rPr>
        <w:t>万亩，</w:t>
      </w:r>
      <w:r>
        <w:rPr>
          <w:b/>
          <w:bCs/>
          <w:sz w:val="28"/>
          <w:szCs w:val="28"/>
        </w:rPr>
        <w:t>2016</w:t>
      </w:r>
      <w:r>
        <w:rPr>
          <w:rFonts w:hint="eastAsia"/>
          <w:b/>
          <w:bCs/>
          <w:sz w:val="28"/>
          <w:szCs w:val="28"/>
        </w:rPr>
        <w:t>年全县种植龙牙百合面积</w:t>
      </w:r>
      <w:r>
        <w:rPr>
          <w:b/>
          <w:bCs/>
          <w:sz w:val="28"/>
          <w:szCs w:val="28"/>
        </w:rPr>
        <w:t>1.5</w:t>
      </w:r>
      <w:r>
        <w:rPr>
          <w:rFonts w:hint="eastAsia"/>
          <w:b/>
          <w:bCs/>
          <w:sz w:val="28"/>
          <w:szCs w:val="28"/>
        </w:rPr>
        <w:t>万亩。为了进一步发展我省龙牙百合产业，为此，制定“绿色食品龙牙百合生产技术规程”江西省地方标准意义重大。</w:t>
      </w:r>
    </w:p>
    <w:p w:rsidR="00E3655F" w:rsidRDefault="00E3655F" w:rsidP="00E45083">
      <w:pPr>
        <w:ind w:firstLineChars="100" w:firstLine="31680"/>
        <w:rPr>
          <w:rFonts w:cs="Times New Roman"/>
          <w:b/>
          <w:bCs/>
          <w:sz w:val="28"/>
          <w:szCs w:val="28"/>
        </w:rPr>
      </w:pPr>
      <w:r>
        <w:rPr>
          <w:rFonts w:cs="宋体" w:hint="eastAsia"/>
          <w:b/>
          <w:bCs/>
          <w:sz w:val="28"/>
          <w:szCs w:val="28"/>
        </w:rPr>
        <w:t>江西省虽在</w:t>
      </w:r>
      <w:r>
        <w:rPr>
          <w:b/>
          <w:bCs/>
          <w:sz w:val="28"/>
          <w:szCs w:val="28"/>
        </w:rPr>
        <w:t>2005</w:t>
      </w:r>
      <w:r>
        <w:rPr>
          <w:rFonts w:cs="宋体" w:hint="eastAsia"/>
          <w:b/>
          <w:bCs/>
          <w:sz w:val="28"/>
          <w:szCs w:val="28"/>
        </w:rPr>
        <w:t>年发布了省地方标准《绿色食品龙牙百合生产技术规程》</w:t>
      </w:r>
      <w:r>
        <w:rPr>
          <w:b/>
          <w:bCs/>
          <w:sz w:val="28"/>
          <w:szCs w:val="28"/>
        </w:rPr>
        <w:t>(DB36/T444</w:t>
      </w:r>
      <w:r>
        <w:rPr>
          <w:rFonts w:ascii="宋体" w:hAnsi="宋体" w:cs="宋体"/>
          <w:b/>
          <w:bCs/>
          <w:kern w:val="0"/>
          <w:sz w:val="28"/>
          <w:szCs w:val="28"/>
        </w:rPr>
        <w:t>-2005),</w:t>
      </w:r>
      <w:r>
        <w:rPr>
          <w:rFonts w:ascii="宋体" w:hAnsi="宋体" w:cs="宋体" w:hint="eastAsia"/>
          <w:b/>
          <w:bCs/>
          <w:kern w:val="0"/>
          <w:sz w:val="28"/>
          <w:szCs w:val="28"/>
        </w:rPr>
        <w:t>但该标准已发布</w:t>
      </w:r>
      <w:r>
        <w:rPr>
          <w:rFonts w:ascii="宋体" w:hAnsi="宋体" w:cs="宋体"/>
          <w:b/>
          <w:bCs/>
          <w:kern w:val="0"/>
          <w:sz w:val="28"/>
          <w:szCs w:val="28"/>
        </w:rPr>
        <w:t>12</w:t>
      </w:r>
      <w:r>
        <w:rPr>
          <w:rFonts w:ascii="宋体" w:hAnsi="宋体" w:cs="宋体" w:hint="eastAsia"/>
          <w:b/>
          <w:bCs/>
          <w:kern w:val="0"/>
          <w:sz w:val="28"/>
          <w:szCs w:val="28"/>
        </w:rPr>
        <w:t>年，但是，由于时间过长，规范性引用文件都已更新。因此，我们在省有关部门的支持下，通过优化龙牙百合栽培技术和系列栽培试验示范，修订了</w:t>
      </w:r>
      <w:r>
        <w:rPr>
          <w:rFonts w:ascii="宋体" w:cs="Times New Roman"/>
          <w:b/>
          <w:bCs/>
          <w:kern w:val="0"/>
          <w:sz w:val="28"/>
          <w:szCs w:val="28"/>
        </w:rPr>
        <w:t> </w:t>
      </w:r>
      <w:r>
        <w:rPr>
          <w:b/>
          <w:bCs/>
          <w:sz w:val="28"/>
          <w:szCs w:val="28"/>
        </w:rPr>
        <w:t>“</w:t>
      </w:r>
      <w:r>
        <w:rPr>
          <w:rFonts w:cs="宋体" w:hint="eastAsia"/>
          <w:b/>
          <w:bCs/>
          <w:sz w:val="28"/>
          <w:szCs w:val="28"/>
        </w:rPr>
        <w:t>绿色食品龙牙百合生产技术规程</w:t>
      </w:r>
      <w:r>
        <w:rPr>
          <w:b/>
          <w:bCs/>
          <w:sz w:val="28"/>
          <w:szCs w:val="28"/>
        </w:rPr>
        <w:t>”</w:t>
      </w:r>
      <w:r>
        <w:rPr>
          <w:rFonts w:cs="宋体" w:hint="eastAsia"/>
          <w:b/>
          <w:bCs/>
          <w:sz w:val="28"/>
          <w:szCs w:val="28"/>
        </w:rPr>
        <w:t>。该标准的制定，综合考虑了江西省气候、地理特点以及产业现状和农民种植习惯，集成了优良品种，壮苗培育，综合病虫害防治等关键技术，该标准的制定，有利于龙牙百合栽培的标准化生产，规模化种植和产业化发展，提高江西龙牙百合种植经济效益。</w:t>
      </w:r>
    </w:p>
    <w:p w:rsidR="00E3655F" w:rsidRDefault="00E3655F">
      <w:pPr>
        <w:rPr>
          <w:rFonts w:cs="Times New Roman"/>
          <w:b/>
          <w:bCs/>
          <w:sz w:val="30"/>
          <w:szCs w:val="30"/>
        </w:rPr>
      </w:pPr>
      <w:r>
        <w:rPr>
          <w:rFonts w:cs="宋体" w:hint="eastAsia"/>
          <w:b/>
          <w:bCs/>
          <w:sz w:val="30"/>
          <w:szCs w:val="30"/>
        </w:rPr>
        <w:t>二、标准编制概况</w:t>
      </w:r>
    </w:p>
    <w:p w:rsidR="00E3655F" w:rsidRDefault="00E3655F">
      <w:pPr>
        <w:numPr>
          <w:ilvl w:val="0"/>
          <w:numId w:val="1"/>
        </w:numPr>
        <w:rPr>
          <w:rFonts w:cs="Times New Roman"/>
          <w:b/>
          <w:bCs/>
          <w:sz w:val="28"/>
          <w:szCs w:val="28"/>
        </w:rPr>
      </w:pPr>
      <w:r>
        <w:rPr>
          <w:rFonts w:cs="宋体" w:hint="eastAsia"/>
          <w:b/>
          <w:bCs/>
          <w:sz w:val="28"/>
          <w:szCs w:val="28"/>
        </w:rPr>
        <w:t>基本情况</w:t>
      </w:r>
    </w:p>
    <w:p w:rsidR="00E3655F" w:rsidRDefault="00E3655F">
      <w:pPr>
        <w:numPr>
          <w:ilvl w:val="0"/>
          <w:numId w:val="2"/>
        </w:numPr>
        <w:rPr>
          <w:rFonts w:cs="Times New Roman"/>
          <w:b/>
          <w:bCs/>
          <w:sz w:val="28"/>
          <w:szCs w:val="28"/>
        </w:rPr>
      </w:pPr>
      <w:r>
        <w:rPr>
          <w:rFonts w:cs="宋体" w:hint="eastAsia"/>
          <w:b/>
          <w:bCs/>
          <w:sz w:val="28"/>
          <w:szCs w:val="28"/>
        </w:rPr>
        <w:t>本标准由江西省农业厅提出。</w:t>
      </w:r>
    </w:p>
    <w:p w:rsidR="00E3655F" w:rsidRDefault="00E3655F">
      <w:pPr>
        <w:numPr>
          <w:ilvl w:val="0"/>
          <w:numId w:val="2"/>
        </w:numPr>
        <w:rPr>
          <w:rFonts w:cs="Times New Roman"/>
          <w:b/>
          <w:bCs/>
          <w:sz w:val="28"/>
          <w:szCs w:val="28"/>
        </w:rPr>
      </w:pPr>
      <w:r>
        <w:rPr>
          <w:rFonts w:cs="宋体" w:hint="eastAsia"/>
          <w:b/>
          <w:bCs/>
          <w:sz w:val="28"/>
          <w:szCs w:val="28"/>
        </w:rPr>
        <w:t>本标准起草单位：万载县农业局</w:t>
      </w:r>
    </w:p>
    <w:p w:rsidR="00E3655F" w:rsidRDefault="00E3655F">
      <w:pPr>
        <w:numPr>
          <w:ilvl w:val="0"/>
          <w:numId w:val="2"/>
        </w:numPr>
        <w:rPr>
          <w:rFonts w:cs="Times New Roman"/>
          <w:b/>
          <w:bCs/>
          <w:sz w:val="28"/>
          <w:szCs w:val="28"/>
        </w:rPr>
      </w:pPr>
      <w:r>
        <w:rPr>
          <w:rFonts w:cs="宋体" w:hint="eastAsia"/>
          <w:b/>
          <w:bCs/>
          <w:sz w:val="28"/>
          <w:szCs w:val="28"/>
        </w:rPr>
        <w:t>本标准起草人：黄绍儒、辛会英、杜贵勇、欧阳重升、杨家根、邹翔、高海涛、喻惟、周明海、</w:t>
      </w:r>
      <w:r w:rsidRPr="00F561BC">
        <w:rPr>
          <w:rFonts w:cs="宋体" w:hint="eastAsia"/>
          <w:b/>
          <w:bCs/>
          <w:sz w:val="28"/>
          <w:szCs w:val="28"/>
        </w:rPr>
        <w:t>卢伟强</w:t>
      </w:r>
      <w:r>
        <w:rPr>
          <w:rFonts w:cs="宋体" w:hint="eastAsia"/>
          <w:b/>
          <w:bCs/>
          <w:sz w:val="28"/>
          <w:szCs w:val="28"/>
        </w:rPr>
        <w:t>。</w:t>
      </w:r>
    </w:p>
    <w:p w:rsidR="00E3655F" w:rsidRDefault="00E3655F">
      <w:pPr>
        <w:numPr>
          <w:ilvl w:val="0"/>
          <w:numId w:val="2"/>
        </w:numPr>
        <w:rPr>
          <w:rFonts w:cs="Times New Roman"/>
          <w:b/>
          <w:bCs/>
          <w:sz w:val="28"/>
          <w:szCs w:val="28"/>
        </w:rPr>
      </w:pPr>
      <w:r>
        <w:rPr>
          <w:rFonts w:cs="宋体" w:hint="eastAsia"/>
          <w:b/>
          <w:bCs/>
          <w:sz w:val="28"/>
          <w:szCs w:val="28"/>
        </w:rPr>
        <w:t>本标准编写格式符合</w:t>
      </w:r>
      <w:r>
        <w:rPr>
          <w:b/>
          <w:bCs/>
          <w:sz w:val="28"/>
          <w:szCs w:val="28"/>
        </w:rPr>
        <w:t>GB/T1.1-2009</w:t>
      </w:r>
      <w:r>
        <w:rPr>
          <w:rFonts w:cs="宋体" w:hint="eastAsia"/>
          <w:b/>
          <w:bCs/>
          <w:sz w:val="28"/>
          <w:szCs w:val="28"/>
        </w:rPr>
        <w:t>标准化工作导则第一部分：标准的结构和编写规则。本标准贯彻</w:t>
      </w:r>
      <w:r>
        <w:rPr>
          <w:b/>
          <w:bCs/>
          <w:sz w:val="28"/>
          <w:szCs w:val="28"/>
        </w:rPr>
        <w:t xml:space="preserve"> NY/T 391-2013  </w:t>
      </w:r>
      <w:r>
        <w:rPr>
          <w:rFonts w:cs="宋体" w:hint="eastAsia"/>
          <w:b/>
          <w:bCs/>
          <w:sz w:val="28"/>
          <w:szCs w:val="28"/>
        </w:rPr>
        <w:t>绿色食品《产地环境质量》、</w:t>
      </w:r>
      <w:r>
        <w:rPr>
          <w:b/>
          <w:bCs/>
          <w:sz w:val="28"/>
          <w:szCs w:val="28"/>
        </w:rPr>
        <w:t xml:space="preserve"> NY/T 393-2013</w:t>
      </w:r>
      <w:r>
        <w:rPr>
          <w:rFonts w:cs="宋体" w:hint="eastAsia"/>
          <w:b/>
          <w:bCs/>
          <w:sz w:val="28"/>
          <w:szCs w:val="28"/>
        </w:rPr>
        <w:t xml:space="preserve">　绿色食品《农药使用准则》、</w:t>
      </w:r>
      <w:r>
        <w:rPr>
          <w:b/>
          <w:bCs/>
          <w:sz w:val="28"/>
          <w:szCs w:val="28"/>
        </w:rPr>
        <w:t>NY/T 394-2013</w:t>
      </w:r>
      <w:r>
        <w:rPr>
          <w:rFonts w:cs="宋体" w:hint="eastAsia"/>
          <w:b/>
          <w:bCs/>
          <w:sz w:val="28"/>
          <w:szCs w:val="28"/>
        </w:rPr>
        <w:t xml:space="preserve">　绿色食品《肥料使用准则》、</w:t>
      </w:r>
      <w:r>
        <w:rPr>
          <w:b/>
          <w:bCs/>
          <w:sz w:val="28"/>
          <w:szCs w:val="28"/>
        </w:rPr>
        <w:t>DB36/T 437</w:t>
      </w:r>
      <w:r>
        <w:rPr>
          <w:rFonts w:cs="宋体" w:hint="eastAsia"/>
          <w:b/>
          <w:bCs/>
          <w:sz w:val="28"/>
          <w:szCs w:val="28"/>
        </w:rPr>
        <w:t xml:space="preserve">　《龙牙百合鳞片快速繁育种球生产技术规程》。</w:t>
      </w:r>
    </w:p>
    <w:p w:rsidR="00E3655F" w:rsidRDefault="00E3655F">
      <w:pPr>
        <w:numPr>
          <w:ilvl w:val="0"/>
          <w:numId w:val="2"/>
        </w:numPr>
        <w:rPr>
          <w:rFonts w:cs="Times New Roman"/>
          <w:b/>
          <w:bCs/>
          <w:sz w:val="28"/>
          <w:szCs w:val="28"/>
        </w:rPr>
      </w:pPr>
      <w:r>
        <w:rPr>
          <w:rFonts w:cs="宋体" w:hint="eastAsia"/>
          <w:b/>
          <w:bCs/>
          <w:sz w:val="28"/>
          <w:szCs w:val="28"/>
        </w:rPr>
        <w:t>本标准是在进行了系列的试验示范，查阅了大量的相关资料，广泛收集和总结相关研究成果基础上编制而成。</w:t>
      </w:r>
    </w:p>
    <w:p w:rsidR="00E3655F" w:rsidRDefault="00E3655F">
      <w:pPr>
        <w:numPr>
          <w:ilvl w:val="0"/>
          <w:numId w:val="3"/>
        </w:numPr>
        <w:rPr>
          <w:rFonts w:cs="Times New Roman"/>
          <w:b/>
          <w:bCs/>
          <w:sz w:val="28"/>
          <w:szCs w:val="28"/>
        </w:rPr>
      </w:pPr>
      <w:r>
        <w:rPr>
          <w:rFonts w:cs="宋体" w:hint="eastAsia"/>
          <w:b/>
          <w:bCs/>
          <w:sz w:val="28"/>
          <w:szCs w:val="28"/>
        </w:rPr>
        <w:t>绿色食品龙牙百合生产技术的确立</w:t>
      </w:r>
    </w:p>
    <w:p w:rsidR="00E3655F" w:rsidRDefault="00E3655F" w:rsidP="00E45083">
      <w:pPr>
        <w:ind w:firstLineChars="200" w:firstLine="31680"/>
        <w:rPr>
          <w:rFonts w:cs="Times New Roman"/>
          <w:b/>
          <w:bCs/>
          <w:sz w:val="28"/>
          <w:szCs w:val="28"/>
        </w:rPr>
      </w:pPr>
      <w:r>
        <w:rPr>
          <w:rFonts w:cs="宋体" w:hint="eastAsia"/>
          <w:b/>
          <w:bCs/>
          <w:sz w:val="28"/>
          <w:szCs w:val="28"/>
        </w:rPr>
        <w:t>本规程的编制，在原来的</w:t>
      </w:r>
      <w:r>
        <w:rPr>
          <w:b/>
          <w:bCs/>
          <w:sz w:val="28"/>
          <w:szCs w:val="28"/>
        </w:rPr>
        <w:t>(DB36/T444</w:t>
      </w:r>
      <w:r>
        <w:rPr>
          <w:rFonts w:ascii="宋体" w:hAnsi="宋体" w:cs="宋体"/>
          <w:b/>
          <w:bCs/>
          <w:kern w:val="0"/>
          <w:sz w:val="28"/>
          <w:szCs w:val="28"/>
        </w:rPr>
        <w:t>-2005)</w:t>
      </w:r>
      <w:r>
        <w:rPr>
          <w:rFonts w:cs="宋体" w:hint="eastAsia"/>
          <w:b/>
          <w:bCs/>
          <w:sz w:val="28"/>
          <w:szCs w:val="28"/>
        </w:rPr>
        <w:t>《绿色食品龙牙百合生产技术规程》有所修改，同时得到了江西省农业厅等单位的资助。标准起草单位在开展龙牙百合新品种选育和配套栽培技术研究基础上，通过系列的栽培试验，并查阅有相关技术文献，集成编制了《绿色食品龙牙百合生产技术规程》。</w:t>
      </w:r>
    </w:p>
    <w:p w:rsidR="00E3655F" w:rsidRDefault="00E3655F">
      <w:pPr>
        <w:numPr>
          <w:ilvl w:val="0"/>
          <w:numId w:val="3"/>
        </w:numPr>
        <w:rPr>
          <w:rFonts w:cs="Times New Roman"/>
          <w:b/>
          <w:bCs/>
          <w:sz w:val="28"/>
          <w:szCs w:val="28"/>
        </w:rPr>
      </w:pPr>
      <w:r>
        <w:rPr>
          <w:rFonts w:cs="宋体" w:hint="eastAsia"/>
          <w:b/>
          <w:bCs/>
          <w:sz w:val="28"/>
          <w:szCs w:val="28"/>
        </w:rPr>
        <w:t>主要技术依据和部分条款说明</w:t>
      </w:r>
    </w:p>
    <w:p w:rsidR="00E3655F" w:rsidRDefault="00E3655F" w:rsidP="00E45083">
      <w:pPr>
        <w:ind w:firstLineChars="200" w:firstLine="31680"/>
        <w:rPr>
          <w:rFonts w:cs="Times New Roman"/>
          <w:b/>
          <w:bCs/>
          <w:sz w:val="28"/>
          <w:szCs w:val="28"/>
        </w:rPr>
      </w:pPr>
      <w:r>
        <w:rPr>
          <w:rFonts w:cs="宋体" w:hint="eastAsia"/>
          <w:b/>
          <w:bCs/>
          <w:sz w:val="28"/>
          <w:szCs w:val="28"/>
        </w:rPr>
        <w:t>编制遵循“先进性、实用性、统一性”的原则，尽可能与国内外领先标准接轨，注重了标准的可操作性，严格按</w:t>
      </w:r>
      <w:r>
        <w:rPr>
          <w:b/>
          <w:bCs/>
          <w:sz w:val="28"/>
          <w:szCs w:val="28"/>
        </w:rPr>
        <w:t xml:space="preserve">NY/T 391-2013 </w:t>
      </w:r>
      <w:r>
        <w:rPr>
          <w:rFonts w:cs="宋体" w:hint="eastAsia"/>
          <w:b/>
          <w:bCs/>
          <w:sz w:val="28"/>
          <w:szCs w:val="28"/>
        </w:rPr>
        <w:t>、</w:t>
      </w:r>
      <w:r>
        <w:rPr>
          <w:b/>
          <w:bCs/>
          <w:sz w:val="28"/>
          <w:szCs w:val="28"/>
        </w:rPr>
        <w:t xml:space="preserve">NY/T1054-2013 </w:t>
      </w:r>
      <w:r>
        <w:rPr>
          <w:rFonts w:cs="宋体" w:hint="eastAsia"/>
          <w:b/>
          <w:bCs/>
          <w:sz w:val="28"/>
          <w:szCs w:val="28"/>
        </w:rPr>
        <w:t>最新版本要求进行编写。该标准的制定，综合考虑了我省气候地理特点以及产业现状和居民消费习惯，集成了优良品种，壮苗培育，综合病虫害防治等关键技术，创新性突出，关键技术先进，科学、实用。</w:t>
      </w:r>
    </w:p>
    <w:p w:rsidR="00E3655F" w:rsidRDefault="00E3655F" w:rsidP="00E45083">
      <w:pPr>
        <w:ind w:firstLineChars="200" w:firstLine="31680"/>
        <w:rPr>
          <w:rFonts w:cs="Times New Roman"/>
          <w:b/>
          <w:bCs/>
          <w:sz w:val="28"/>
          <w:szCs w:val="28"/>
        </w:rPr>
      </w:pPr>
      <w:r>
        <w:rPr>
          <w:b/>
          <w:bCs/>
          <w:sz w:val="28"/>
          <w:szCs w:val="28"/>
        </w:rPr>
        <w:t>1</w:t>
      </w:r>
      <w:r>
        <w:rPr>
          <w:rFonts w:cs="宋体" w:hint="eastAsia"/>
          <w:b/>
          <w:bCs/>
          <w:sz w:val="28"/>
          <w:szCs w:val="28"/>
        </w:rPr>
        <w:t>、本规程依据</w:t>
      </w:r>
      <w:r>
        <w:rPr>
          <w:b/>
          <w:bCs/>
          <w:sz w:val="28"/>
          <w:szCs w:val="28"/>
        </w:rPr>
        <w:t>NY/T 391-2013</w:t>
      </w:r>
      <w:r>
        <w:rPr>
          <w:rFonts w:cs="宋体" w:hint="eastAsia"/>
          <w:b/>
          <w:bCs/>
          <w:sz w:val="28"/>
          <w:szCs w:val="28"/>
        </w:rPr>
        <w:t>《绿色食品产地环境质量》、</w:t>
      </w:r>
      <w:r>
        <w:rPr>
          <w:b/>
          <w:bCs/>
          <w:sz w:val="28"/>
          <w:szCs w:val="28"/>
        </w:rPr>
        <w:t>NY/T 393-2013</w:t>
      </w:r>
      <w:r>
        <w:rPr>
          <w:rFonts w:cs="宋体" w:hint="eastAsia"/>
          <w:b/>
          <w:bCs/>
          <w:sz w:val="28"/>
          <w:szCs w:val="28"/>
        </w:rPr>
        <w:t>《绿色食品农药使用准则》、</w:t>
      </w:r>
      <w:r>
        <w:rPr>
          <w:b/>
          <w:bCs/>
          <w:sz w:val="28"/>
          <w:szCs w:val="28"/>
        </w:rPr>
        <w:t>NY/T 394-2013</w:t>
      </w:r>
      <w:r>
        <w:rPr>
          <w:rFonts w:cs="宋体" w:hint="eastAsia"/>
          <w:b/>
          <w:bCs/>
          <w:sz w:val="28"/>
          <w:szCs w:val="28"/>
        </w:rPr>
        <w:t>《绿色食品肥料使用准则》、</w:t>
      </w:r>
      <w:r>
        <w:rPr>
          <w:b/>
          <w:bCs/>
          <w:sz w:val="28"/>
          <w:szCs w:val="28"/>
        </w:rPr>
        <w:t xml:space="preserve"> DB36/T 437</w:t>
      </w:r>
      <w:r>
        <w:rPr>
          <w:rFonts w:cs="宋体" w:hint="eastAsia"/>
          <w:b/>
          <w:bCs/>
          <w:sz w:val="28"/>
          <w:szCs w:val="28"/>
        </w:rPr>
        <w:t>《龙牙百合鳞片快速繁育种球生产技术规程。》</w:t>
      </w:r>
    </w:p>
    <w:p w:rsidR="00E3655F" w:rsidRDefault="00E3655F" w:rsidP="00E45083">
      <w:pPr>
        <w:ind w:firstLineChars="200" w:firstLine="31680"/>
        <w:rPr>
          <w:rFonts w:cs="Times New Roman"/>
          <w:b/>
          <w:bCs/>
          <w:sz w:val="28"/>
          <w:szCs w:val="28"/>
        </w:rPr>
      </w:pPr>
      <w:r>
        <w:rPr>
          <w:b/>
          <w:bCs/>
          <w:sz w:val="28"/>
          <w:szCs w:val="28"/>
        </w:rPr>
        <w:t>2</w:t>
      </w:r>
      <w:r>
        <w:rPr>
          <w:rFonts w:cs="宋体" w:hint="eastAsia"/>
          <w:b/>
          <w:bCs/>
          <w:sz w:val="28"/>
          <w:szCs w:val="28"/>
        </w:rPr>
        <w:t>、范围。本标准规定了绿色食品龙牙百合生产技术的术语和定义，条件与要求、栽培、病虫防治、采收等技术要求。本标准适用于江西地区绿色食品龙牙百合生产。</w:t>
      </w:r>
    </w:p>
    <w:p w:rsidR="00E3655F" w:rsidRDefault="00E3655F" w:rsidP="00E45083">
      <w:pPr>
        <w:ind w:firstLineChars="200" w:firstLine="31680"/>
        <w:rPr>
          <w:rFonts w:cs="Times New Roman"/>
          <w:b/>
          <w:bCs/>
          <w:sz w:val="28"/>
          <w:szCs w:val="28"/>
        </w:rPr>
      </w:pPr>
      <w:r>
        <w:rPr>
          <w:b/>
          <w:bCs/>
          <w:sz w:val="28"/>
          <w:szCs w:val="28"/>
        </w:rPr>
        <w:t xml:space="preserve">3 </w:t>
      </w:r>
      <w:r>
        <w:rPr>
          <w:rFonts w:cs="宋体" w:hint="eastAsia"/>
          <w:b/>
          <w:bCs/>
          <w:sz w:val="28"/>
          <w:szCs w:val="28"/>
        </w:rPr>
        <w:t>、术语。参考了现行的我省及国家标准和国内有关文献资料，本技术规程采用的术语规范、明确。</w:t>
      </w:r>
    </w:p>
    <w:p w:rsidR="00E3655F" w:rsidRDefault="00E3655F" w:rsidP="00E45083">
      <w:pPr>
        <w:ind w:firstLineChars="200" w:firstLine="31680"/>
        <w:rPr>
          <w:rFonts w:cs="Times New Roman"/>
          <w:b/>
          <w:bCs/>
          <w:sz w:val="28"/>
          <w:szCs w:val="28"/>
        </w:rPr>
      </w:pPr>
      <w:r>
        <w:rPr>
          <w:b/>
          <w:bCs/>
          <w:sz w:val="28"/>
          <w:szCs w:val="28"/>
        </w:rPr>
        <w:t>4</w:t>
      </w:r>
      <w:r>
        <w:rPr>
          <w:rFonts w:cs="宋体" w:hint="eastAsia"/>
          <w:b/>
          <w:bCs/>
          <w:sz w:val="28"/>
          <w:szCs w:val="28"/>
        </w:rPr>
        <w:t>、本标准确定“绿色食品龙牙百合生产”已在万载县各乡镇主产区进行了多点试验示范，科学、规范、可操作性强，对龙牙百合栽培具有很好的指导作用。</w:t>
      </w:r>
    </w:p>
    <w:p w:rsidR="00E3655F" w:rsidRDefault="00E3655F">
      <w:pPr>
        <w:rPr>
          <w:rFonts w:cs="Times New Roman"/>
          <w:b/>
          <w:bCs/>
          <w:sz w:val="30"/>
          <w:szCs w:val="30"/>
        </w:rPr>
      </w:pPr>
      <w:r>
        <w:rPr>
          <w:rFonts w:cs="宋体" w:hint="eastAsia"/>
          <w:b/>
          <w:bCs/>
          <w:sz w:val="30"/>
          <w:szCs w:val="30"/>
        </w:rPr>
        <w:t>三、征求意见和修改情况</w:t>
      </w:r>
    </w:p>
    <w:p w:rsidR="00E3655F" w:rsidRDefault="00E3655F" w:rsidP="00E45083">
      <w:pPr>
        <w:ind w:firstLineChars="200" w:firstLine="31680"/>
        <w:rPr>
          <w:rFonts w:cs="Times New Roman"/>
          <w:b/>
          <w:bCs/>
          <w:sz w:val="28"/>
          <w:szCs w:val="28"/>
        </w:rPr>
      </w:pPr>
      <w:r>
        <w:rPr>
          <w:rFonts w:ascii="宋体" w:hAnsi="宋体" w:cs="宋体" w:hint="eastAsia"/>
          <w:b/>
          <w:bCs/>
          <w:sz w:val="28"/>
          <w:szCs w:val="28"/>
        </w:rPr>
        <w:t>规范性引用文件进行了更新，</w:t>
      </w:r>
      <w:r>
        <w:rPr>
          <w:b/>
          <w:bCs/>
          <w:sz w:val="28"/>
          <w:szCs w:val="28"/>
        </w:rPr>
        <w:t>NY/T 391-2000</w:t>
      </w:r>
      <w:r>
        <w:rPr>
          <w:rFonts w:cs="宋体" w:hint="eastAsia"/>
          <w:b/>
          <w:bCs/>
          <w:sz w:val="28"/>
          <w:szCs w:val="28"/>
        </w:rPr>
        <w:t>《绿色食品产地环境条件》、</w:t>
      </w:r>
      <w:r>
        <w:rPr>
          <w:b/>
          <w:bCs/>
          <w:sz w:val="28"/>
          <w:szCs w:val="28"/>
        </w:rPr>
        <w:t>NY/T 393-2000</w:t>
      </w:r>
      <w:r>
        <w:rPr>
          <w:rFonts w:cs="宋体" w:hint="eastAsia"/>
          <w:b/>
          <w:bCs/>
          <w:sz w:val="28"/>
          <w:szCs w:val="28"/>
        </w:rPr>
        <w:t>《绿色食品农药使用准则》、</w:t>
      </w:r>
      <w:r>
        <w:rPr>
          <w:b/>
          <w:bCs/>
          <w:sz w:val="28"/>
          <w:szCs w:val="28"/>
        </w:rPr>
        <w:t xml:space="preserve"> NY/T 394-2000</w:t>
      </w:r>
      <w:r>
        <w:rPr>
          <w:rFonts w:cs="宋体" w:hint="eastAsia"/>
          <w:b/>
          <w:bCs/>
          <w:sz w:val="28"/>
          <w:szCs w:val="28"/>
        </w:rPr>
        <w:t>《绿色食品肥料使用准则》、</w:t>
      </w:r>
      <w:r>
        <w:rPr>
          <w:b/>
          <w:bCs/>
          <w:sz w:val="28"/>
          <w:szCs w:val="28"/>
        </w:rPr>
        <w:t>DB36/T 437</w:t>
      </w:r>
      <w:r>
        <w:rPr>
          <w:rFonts w:cs="宋体" w:hint="eastAsia"/>
          <w:b/>
          <w:bCs/>
          <w:sz w:val="28"/>
          <w:szCs w:val="28"/>
        </w:rPr>
        <w:t>－</w:t>
      </w:r>
      <w:r>
        <w:rPr>
          <w:b/>
          <w:bCs/>
          <w:sz w:val="28"/>
          <w:szCs w:val="28"/>
        </w:rPr>
        <w:t>2004</w:t>
      </w:r>
      <w:r>
        <w:rPr>
          <w:rFonts w:cs="宋体" w:hint="eastAsia"/>
          <w:b/>
          <w:bCs/>
          <w:sz w:val="28"/>
          <w:szCs w:val="28"/>
        </w:rPr>
        <w:t>《龙牙百合鳞片快速繁育种球生产技术规程》，改为</w:t>
      </w:r>
      <w:r>
        <w:rPr>
          <w:b/>
          <w:bCs/>
          <w:sz w:val="28"/>
          <w:szCs w:val="28"/>
        </w:rPr>
        <w:t>NY/T 391-2013</w:t>
      </w:r>
      <w:r>
        <w:rPr>
          <w:rFonts w:cs="宋体" w:hint="eastAsia"/>
          <w:b/>
          <w:bCs/>
          <w:sz w:val="28"/>
          <w:szCs w:val="28"/>
        </w:rPr>
        <w:t>《绿色食品产地环境质量》、</w:t>
      </w:r>
      <w:r>
        <w:rPr>
          <w:b/>
          <w:bCs/>
          <w:sz w:val="28"/>
          <w:szCs w:val="28"/>
        </w:rPr>
        <w:t>NY/T 393-2013</w:t>
      </w:r>
      <w:r>
        <w:rPr>
          <w:rFonts w:cs="宋体" w:hint="eastAsia"/>
          <w:b/>
          <w:bCs/>
          <w:sz w:val="28"/>
          <w:szCs w:val="28"/>
        </w:rPr>
        <w:t>《绿色食品农药使用准则》、</w:t>
      </w:r>
      <w:r>
        <w:rPr>
          <w:b/>
          <w:bCs/>
          <w:sz w:val="28"/>
          <w:szCs w:val="28"/>
        </w:rPr>
        <w:t xml:space="preserve"> NY/T 394-2013</w:t>
      </w:r>
      <w:r>
        <w:rPr>
          <w:rFonts w:cs="宋体" w:hint="eastAsia"/>
          <w:b/>
          <w:bCs/>
          <w:sz w:val="28"/>
          <w:szCs w:val="28"/>
        </w:rPr>
        <w:t>《绿色食品肥料使用准则》、</w:t>
      </w:r>
      <w:r>
        <w:rPr>
          <w:b/>
          <w:bCs/>
          <w:sz w:val="28"/>
          <w:szCs w:val="28"/>
        </w:rPr>
        <w:t>DB36/T 437</w:t>
      </w:r>
      <w:r>
        <w:rPr>
          <w:rFonts w:cs="宋体" w:hint="eastAsia"/>
          <w:b/>
          <w:bCs/>
          <w:sz w:val="28"/>
          <w:szCs w:val="28"/>
        </w:rPr>
        <w:t>《龙牙百合鳞片快速繁育种球生产技术规程》。</w:t>
      </w:r>
    </w:p>
    <w:p w:rsidR="00E3655F" w:rsidRDefault="00E3655F">
      <w:pPr>
        <w:rPr>
          <w:rFonts w:cs="Times New Roman"/>
          <w:b/>
          <w:bCs/>
          <w:sz w:val="30"/>
          <w:szCs w:val="30"/>
        </w:rPr>
      </w:pPr>
      <w:r>
        <w:rPr>
          <w:rFonts w:cs="宋体" w:hint="eastAsia"/>
          <w:b/>
          <w:bCs/>
          <w:sz w:val="30"/>
          <w:szCs w:val="30"/>
        </w:rPr>
        <w:t>四、其它说明</w:t>
      </w:r>
    </w:p>
    <w:p w:rsidR="00E3655F" w:rsidRDefault="00E3655F" w:rsidP="00E45083">
      <w:pPr>
        <w:ind w:firstLineChars="200" w:firstLine="31680"/>
        <w:rPr>
          <w:rFonts w:cs="Times New Roman"/>
          <w:b/>
          <w:bCs/>
          <w:sz w:val="28"/>
          <w:szCs w:val="28"/>
        </w:rPr>
      </w:pPr>
      <w:r>
        <w:rPr>
          <w:rFonts w:cs="宋体" w:hint="eastAsia"/>
          <w:b/>
          <w:bCs/>
          <w:sz w:val="28"/>
          <w:szCs w:val="28"/>
        </w:rPr>
        <w:t>本规程的编制，虽然起草小组付出了一定的努力，但由于水平有限，难免会有不当之处，恳请相关专家学者对本标准提出宝贵的修改意见和建议，对不足之处提出批评指正。</w:t>
      </w:r>
    </w:p>
    <w:p w:rsidR="00E3655F" w:rsidRDefault="00E3655F" w:rsidP="00E45083">
      <w:pPr>
        <w:ind w:firstLineChars="400" w:firstLine="31680"/>
        <w:rPr>
          <w:rFonts w:cs="Times New Roman"/>
          <w:b/>
          <w:bCs/>
          <w:sz w:val="28"/>
          <w:szCs w:val="28"/>
        </w:rPr>
      </w:pPr>
    </w:p>
    <w:p w:rsidR="00E3655F" w:rsidRDefault="00E3655F" w:rsidP="00E45083">
      <w:pPr>
        <w:ind w:firstLineChars="400" w:firstLine="31680"/>
        <w:rPr>
          <w:rFonts w:cs="Times New Roman"/>
          <w:b/>
          <w:bCs/>
          <w:sz w:val="28"/>
          <w:szCs w:val="28"/>
        </w:rPr>
      </w:pPr>
    </w:p>
    <w:p w:rsidR="00E3655F" w:rsidRDefault="00E3655F" w:rsidP="00E45083">
      <w:pPr>
        <w:ind w:firstLineChars="1295" w:firstLine="31680"/>
        <w:rPr>
          <w:rFonts w:cs="Times New Roman"/>
          <w:b/>
          <w:bCs/>
          <w:sz w:val="28"/>
          <w:szCs w:val="28"/>
        </w:rPr>
      </w:pPr>
      <w:r>
        <w:rPr>
          <w:rFonts w:cs="宋体" w:hint="eastAsia"/>
          <w:b/>
          <w:bCs/>
          <w:sz w:val="28"/>
          <w:szCs w:val="28"/>
        </w:rPr>
        <w:t>《绿色食品龙牙百合生产技术规程》</w:t>
      </w:r>
    </w:p>
    <w:p w:rsidR="00E3655F" w:rsidRDefault="00E3655F" w:rsidP="00E45083">
      <w:pPr>
        <w:ind w:firstLineChars="1595" w:firstLine="31680"/>
        <w:rPr>
          <w:rFonts w:cs="Times New Roman"/>
          <w:b/>
          <w:bCs/>
          <w:sz w:val="28"/>
          <w:szCs w:val="28"/>
        </w:rPr>
      </w:pPr>
      <w:r>
        <w:rPr>
          <w:rFonts w:cs="宋体" w:hint="eastAsia"/>
          <w:b/>
          <w:bCs/>
          <w:sz w:val="28"/>
          <w:szCs w:val="28"/>
        </w:rPr>
        <w:t>江西省地方标准起草小组</w:t>
      </w:r>
    </w:p>
    <w:p w:rsidR="00E3655F" w:rsidRDefault="00E3655F" w:rsidP="00E45083">
      <w:pPr>
        <w:ind w:firstLineChars="1695" w:firstLine="31680"/>
        <w:rPr>
          <w:rFonts w:cs="Times New Roman"/>
          <w:b/>
          <w:bCs/>
          <w:sz w:val="28"/>
          <w:szCs w:val="28"/>
        </w:rPr>
      </w:pPr>
      <w:r>
        <w:rPr>
          <w:b/>
          <w:bCs/>
          <w:sz w:val="28"/>
          <w:szCs w:val="28"/>
        </w:rPr>
        <w:t>2017</w:t>
      </w:r>
      <w:r>
        <w:rPr>
          <w:rFonts w:cs="宋体" w:hint="eastAsia"/>
          <w:b/>
          <w:bCs/>
          <w:sz w:val="28"/>
          <w:szCs w:val="28"/>
        </w:rPr>
        <w:t>年</w:t>
      </w:r>
      <w:r>
        <w:rPr>
          <w:b/>
          <w:bCs/>
          <w:sz w:val="28"/>
          <w:szCs w:val="28"/>
        </w:rPr>
        <w:t>7</w:t>
      </w:r>
      <w:r>
        <w:rPr>
          <w:rFonts w:cs="宋体" w:hint="eastAsia"/>
          <w:b/>
          <w:bCs/>
          <w:sz w:val="28"/>
          <w:szCs w:val="28"/>
        </w:rPr>
        <w:t>月</w:t>
      </w:r>
      <w:r>
        <w:rPr>
          <w:b/>
          <w:bCs/>
          <w:sz w:val="28"/>
          <w:szCs w:val="28"/>
        </w:rPr>
        <w:t>10</w:t>
      </w:r>
      <w:r>
        <w:rPr>
          <w:rFonts w:cs="宋体" w:hint="eastAsia"/>
          <w:b/>
          <w:bCs/>
          <w:sz w:val="28"/>
          <w:szCs w:val="28"/>
        </w:rPr>
        <w:t>日</w:t>
      </w:r>
    </w:p>
    <w:p w:rsidR="00E3655F" w:rsidRDefault="00E3655F" w:rsidP="009A7477">
      <w:pPr>
        <w:ind w:firstLineChars="100" w:firstLine="31680"/>
        <w:rPr>
          <w:rFonts w:cs="Times New Roman"/>
          <w:b/>
          <w:bCs/>
          <w:sz w:val="28"/>
          <w:szCs w:val="28"/>
        </w:rPr>
      </w:pPr>
    </w:p>
    <w:sectPr w:rsidR="00E3655F" w:rsidSect="00CE4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5F" w:rsidRDefault="00E3655F" w:rsidP="00F561BC">
      <w:pPr>
        <w:rPr>
          <w:rFonts w:cs="Times New Roman"/>
        </w:rPr>
      </w:pPr>
      <w:r>
        <w:rPr>
          <w:rFonts w:cs="Times New Roman"/>
        </w:rPr>
        <w:separator/>
      </w:r>
    </w:p>
  </w:endnote>
  <w:endnote w:type="continuationSeparator" w:id="0">
    <w:p w:rsidR="00E3655F" w:rsidRDefault="00E3655F" w:rsidP="00F561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5F" w:rsidRDefault="00E3655F" w:rsidP="00F561BC">
      <w:pPr>
        <w:rPr>
          <w:rFonts w:cs="Times New Roman"/>
        </w:rPr>
      </w:pPr>
      <w:r>
        <w:rPr>
          <w:rFonts w:cs="Times New Roman"/>
        </w:rPr>
        <w:separator/>
      </w:r>
    </w:p>
  </w:footnote>
  <w:footnote w:type="continuationSeparator" w:id="0">
    <w:p w:rsidR="00E3655F" w:rsidRDefault="00E3655F" w:rsidP="00F561B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CAAE"/>
    <w:multiLevelType w:val="singleLevel"/>
    <w:tmpl w:val="596DCAAE"/>
    <w:lvl w:ilvl="0">
      <w:start w:val="1"/>
      <w:numFmt w:val="chineseCounting"/>
      <w:suff w:val="nothing"/>
      <w:lvlText w:val="（%1）"/>
      <w:lvlJc w:val="left"/>
    </w:lvl>
  </w:abstractNum>
  <w:abstractNum w:abstractNumId="1">
    <w:nsid w:val="596DCAFD"/>
    <w:multiLevelType w:val="singleLevel"/>
    <w:tmpl w:val="596DCAFD"/>
    <w:lvl w:ilvl="0">
      <w:start w:val="1"/>
      <w:numFmt w:val="decimal"/>
      <w:suff w:val="nothing"/>
      <w:lvlText w:val="%1、"/>
      <w:lvlJc w:val="left"/>
    </w:lvl>
  </w:abstractNum>
  <w:abstractNum w:abstractNumId="2">
    <w:nsid w:val="596DD55C"/>
    <w:multiLevelType w:val="singleLevel"/>
    <w:tmpl w:val="596DD55C"/>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75B738D"/>
    <w:rsid w:val="00013E43"/>
    <w:rsid w:val="00031CAD"/>
    <w:rsid w:val="00066329"/>
    <w:rsid w:val="000B3EF7"/>
    <w:rsid w:val="001240D0"/>
    <w:rsid w:val="001344B1"/>
    <w:rsid w:val="00141453"/>
    <w:rsid w:val="001517CA"/>
    <w:rsid w:val="00161B11"/>
    <w:rsid w:val="001A1719"/>
    <w:rsid w:val="001A75EB"/>
    <w:rsid w:val="001B68CC"/>
    <w:rsid w:val="001E7394"/>
    <w:rsid w:val="00200F12"/>
    <w:rsid w:val="00287F7A"/>
    <w:rsid w:val="002922A2"/>
    <w:rsid w:val="0029408A"/>
    <w:rsid w:val="002A569A"/>
    <w:rsid w:val="002B55EA"/>
    <w:rsid w:val="002C1286"/>
    <w:rsid w:val="002F3612"/>
    <w:rsid w:val="0032023A"/>
    <w:rsid w:val="00341E20"/>
    <w:rsid w:val="003A4F3E"/>
    <w:rsid w:val="003E2117"/>
    <w:rsid w:val="00446594"/>
    <w:rsid w:val="00471F72"/>
    <w:rsid w:val="00493071"/>
    <w:rsid w:val="0049581D"/>
    <w:rsid w:val="004B2866"/>
    <w:rsid w:val="004B56FB"/>
    <w:rsid w:val="004C5F7E"/>
    <w:rsid w:val="004D0693"/>
    <w:rsid w:val="005016CD"/>
    <w:rsid w:val="00576E22"/>
    <w:rsid w:val="00596398"/>
    <w:rsid w:val="005B000B"/>
    <w:rsid w:val="005E2A8E"/>
    <w:rsid w:val="005E5439"/>
    <w:rsid w:val="0061600E"/>
    <w:rsid w:val="0067744A"/>
    <w:rsid w:val="006A331E"/>
    <w:rsid w:val="006C404D"/>
    <w:rsid w:val="006F7E56"/>
    <w:rsid w:val="007248FB"/>
    <w:rsid w:val="00744CEF"/>
    <w:rsid w:val="00754F48"/>
    <w:rsid w:val="007724B8"/>
    <w:rsid w:val="00773063"/>
    <w:rsid w:val="007A094A"/>
    <w:rsid w:val="007A2101"/>
    <w:rsid w:val="007D0A5C"/>
    <w:rsid w:val="0085286E"/>
    <w:rsid w:val="00881052"/>
    <w:rsid w:val="00881C83"/>
    <w:rsid w:val="00893F20"/>
    <w:rsid w:val="00904EAE"/>
    <w:rsid w:val="0091295D"/>
    <w:rsid w:val="009215A6"/>
    <w:rsid w:val="00924FCA"/>
    <w:rsid w:val="009557C0"/>
    <w:rsid w:val="00971DD6"/>
    <w:rsid w:val="009A7477"/>
    <w:rsid w:val="009C51DB"/>
    <w:rsid w:val="009F7AC4"/>
    <w:rsid w:val="00A34D3D"/>
    <w:rsid w:val="00A75434"/>
    <w:rsid w:val="00A93F67"/>
    <w:rsid w:val="00AA7E0F"/>
    <w:rsid w:val="00AC34FA"/>
    <w:rsid w:val="00AF0FC3"/>
    <w:rsid w:val="00B4644B"/>
    <w:rsid w:val="00B63CB0"/>
    <w:rsid w:val="00BB115C"/>
    <w:rsid w:val="00BB246B"/>
    <w:rsid w:val="00BD2B1A"/>
    <w:rsid w:val="00BD61D4"/>
    <w:rsid w:val="00C172B2"/>
    <w:rsid w:val="00C25B64"/>
    <w:rsid w:val="00C3332D"/>
    <w:rsid w:val="00C63D5D"/>
    <w:rsid w:val="00C761D8"/>
    <w:rsid w:val="00C93CFF"/>
    <w:rsid w:val="00C9458F"/>
    <w:rsid w:val="00CD7F20"/>
    <w:rsid w:val="00CE4109"/>
    <w:rsid w:val="00CE69E8"/>
    <w:rsid w:val="00CE78F0"/>
    <w:rsid w:val="00D46ABD"/>
    <w:rsid w:val="00D91EB9"/>
    <w:rsid w:val="00DA1627"/>
    <w:rsid w:val="00DB6D41"/>
    <w:rsid w:val="00DD20C8"/>
    <w:rsid w:val="00DD4852"/>
    <w:rsid w:val="00DF66A6"/>
    <w:rsid w:val="00E00EED"/>
    <w:rsid w:val="00E3655F"/>
    <w:rsid w:val="00E45083"/>
    <w:rsid w:val="00ED6656"/>
    <w:rsid w:val="00ED6E76"/>
    <w:rsid w:val="00F454CC"/>
    <w:rsid w:val="00F561BC"/>
    <w:rsid w:val="00F7791A"/>
    <w:rsid w:val="00F97274"/>
    <w:rsid w:val="00FF4F01"/>
    <w:rsid w:val="028B48D0"/>
    <w:rsid w:val="03225DFD"/>
    <w:rsid w:val="058760B8"/>
    <w:rsid w:val="05E43A3B"/>
    <w:rsid w:val="0A3A3065"/>
    <w:rsid w:val="0B9304FF"/>
    <w:rsid w:val="0CE50379"/>
    <w:rsid w:val="120F209A"/>
    <w:rsid w:val="136051F8"/>
    <w:rsid w:val="144C72EE"/>
    <w:rsid w:val="17977902"/>
    <w:rsid w:val="1DA24B67"/>
    <w:rsid w:val="21D509DB"/>
    <w:rsid w:val="241B2FBC"/>
    <w:rsid w:val="26271C37"/>
    <w:rsid w:val="26553190"/>
    <w:rsid w:val="27154A7F"/>
    <w:rsid w:val="27375C6F"/>
    <w:rsid w:val="27452D88"/>
    <w:rsid w:val="2A262FC0"/>
    <w:rsid w:val="2E69680C"/>
    <w:rsid w:val="2ED00D5B"/>
    <w:rsid w:val="303F7BE4"/>
    <w:rsid w:val="36107B43"/>
    <w:rsid w:val="362728AA"/>
    <w:rsid w:val="3F934EED"/>
    <w:rsid w:val="45D16121"/>
    <w:rsid w:val="4AE456CF"/>
    <w:rsid w:val="516E1DBE"/>
    <w:rsid w:val="52575AFA"/>
    <w:rsid w:val="546E3F1D"/>
    <w:rsid w:val="54E85E14"/>
    <w:rsid w:val="56D43876"/>
    <w:rsid w:val="575B738D"/>
    <w:rsid w:val="5A7D45CE"/>
    <w:rsid w:val="5C03685D"/>
    <w:rsid w:val="5C85475C"/>
    <w:rsid w:val="613A1FB9"/>
    <w:rsid w:val="63AC56E0"/>
    <w:rsid w:val="66C0689D"/>
    <w:rsid w:val="677208A3"/>
    <w:rsid w:val="717237E1"/>
    <w:rsid w:val="71992938"/>
    <w:rsid w:val="719C70F0"/>
    <w:rsid w:val="770A6422"/>
    <w:rsid w:val="7856532E"/>
    <w:rsid w:val="7B91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0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4109"/>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CE4109"/>
    <w:rPr>
      <w:color w:val="0000FF"/>
      <w:u w:val="single"/>
    </w:rPr>
  </w:style>
  <w:style w:type="paragraph" w:customStyle="1" w:styleId="1">
    <w:name w:val="封面标准号1"/>
    <w:uiPriority w:val="99"/>
    <w:rsid w:val="00CE4109"/>
    <w:pPr>
      <w:widowControl w:val="0"/>
      <w:kinsoku w:val="0"/>
      <w:overflowPunct w:val="0"/>
      <w:autoSpaceDE w:val="0"/>
      <w:autoSpaceDN w:val="0"/>
      <w:spacing w:before="308"/>
      <w:jc w:val="right"/>
      <w:textAlignment w:val="center"/>
    </w:pPr>
    <w:rPr>
      <w:rFonts w:cs="Calibri"/>
      <w:kern w:val="0"/>
      <w:sz w:val="28"/>
      <w:szCs w:val="28"/>
    </w:rPr>
  </w:style>
  <w:style w:type="paragraph" w:styleId="Header">
    <w:name w:val="header"/>
    <w:basedOn w:val="Normal"/>
    <w:link w:val="HeaderChar"/>
    <w:uiPriority w:val="99"/>
    <w:semiHidden/>
    <w:rsid w:val="00F561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561BC"/>
    <w:rPr>
      <w:kern w:val="2"/>
      <w:sz w:val="18"/>
      <w:szCs w:val="18"/>
    </w:rPr>
  </w:style>
  <w:style w:type="paragraph" w:styleId="Footer">
    <w:name w:val="footer"/>
    <w:basedOn w:val="Normal"/>
    <w:link w:val="FooterChar"/>
    <w:uiPriority w:val="99"/>
    <w:semiHidden/>
    <w:rsid w:val="00F561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561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p.bytravel.cn/produce/index2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322</Words>
  <Characters>1836</Characters>
  <Application>Microsoft Office Word</Application>
  <DocSecurity>0</DocSecurity>
  <Lines>0</Lines>
  <Paragraphs>0</Paragraphs>
  <ScaleCrop>false</ScaleCrop>
  <Company>china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《绿色食品龙牙百合生产技术规程》</dc:title>
  <dc:subject/>
  <dc:creator>Administrator</dc:creator>
  <cp:keywords/>
  <dc:description/>
  <cp:lastModifiedBy>江西标院周学礼</cp:lastModifiedBy>
  <cp:revision>5</cp:revision>
  <cp:lastPrinted>2018-02-09T02:05:00Z</cp:lastPrinted>
  <dcterms:created xsi:type="dcterms:W3CDTF">2017-07-18T11:54:00Z</dcterms:created>
  <dcterms:modified xsi:type="dcterms:W3CDTF">2018-03-14T07:37:00Z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