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59" w:rsidRDefault="00195444">
      <w:pPr>
        <w:spacing w:beforeLines="50" w:before="156" w:afterLines="50" w:after="156"/>
        <w:jc w:val="center"/>
        <w:rPr>
          <w:rFonts w:ascii="黑体" w:eastAsia="黑体" w:hAnsi="黑体" w:cs="黑体"/>
          <w:sz w:val="36"/>
          <w:szCs w:val="44"/>
        </w:rPr>
      </w:pPr>
      <w:r>
        <w:rPr>
          <w:rFonts w:ascii="黑体" w:eastAsia="黑体" w:hAnsi="黑体" w:cs="黑体" w:hint="eastAsia"/>
          <w:sz w:val="36"/>
          <w:szCs w:val="44"/>
        </w:rPr>
        <w:t>团体标准《江西绿色生态</w:t>
      </w:r>
      <w:r>
        <w:rPr>
          <w:rFonts w:ascii="黑体" w:eastAsia="黑体" w:hAnsi="黑体" w:cs="黑体" w:hint="eastAsia"/>
          <w:sz w:val="36"/>
          <w:szCs w:val="44"/>
        </w:rPr>
        <w:t xml:space="preserve"> </w:t>
      </w:r>
      <w:r>
        <w:rPr>
          <w:rFonts w:ascii="黑体" w:eastAsia="黑体" w:hAnsi="黑体" w:cs="黑体" w:hint="eastAsia"/>
          <w:sz w:val="36"/>
          <w:szCs w:val="44"/>
        </w:rPr>
        <w:t>绝缘子</w:t>
      </w:r>
      <w:r>
        <w:rPr>
          <w:rFonts w:ascii="黑体" w:eastAsia="黑体" w:hAnsi="黑体" w:cs="黑体" w:hint="eastAsia"/>
          <w:sz w:val="36"/>
          <w:szCs w:val="44"/>
        </w:rPr>
        <w:t>》</w:t>
      </w:r>
    </w:p>
    <w:p w:rsidR="00090C59" w:rsidRDefault="00195444">
      <w:pPr>
        <w:spacing w:beforeLines="50" w:before="156" w:afterLines="50" w:after="156"/>
        <w:jc w:val="center"/>
        <w:rPr>
          <w:rFonts w:ascii="黑体" w:eastAsia="黑体" w:hAnsi="黑体" w:cs="黑体"/>
          <w:sz w:val="36"/>
          <w:szCs w:val="44"/>
        </w:rPr>
      </w:pPr>
      <w:r>
        <w:rPr>
          <w:rFonts w:ascii="黑体" w:eastAsia="黑体" w:hAnsi="黑体" w:cs="黑体" w:hint="eastAsia"/>
          <w:sz w:val="36"/>
          <w:szCs w:val="44"/>
        </w:rPr>
        <w:t>编制说明</w:t>
      </w:r>
    </w:p>
    <w:p w:rsidR="00090C59" w:rsidRDefault="00195444">
      <w:pPr>
        <w:numPr>
          <w:ilvl w:val="0"/>
          <w:numId w:val="2"/>
        </w:numPr>
        <w:rPr>
          <w:rFonts w:ascii="黑体" w:eastAsia="黑体" w:hAnsi="黑体" w:cs="黑体"/>
          <w:sz w:val="32"/>
          <w:szCs w:val="32"/>
        </w:rPr>
      </w:pPr>
      <w:r>
        <w:rPr>
          <w:rFonts w:ascii="黑体" w:eastAsia="黑体" w:hAnsi="黑体" w:cs="黑体" w:hint="eastAsia"/>
          <w:sz w:val="32"/>
          <w:szCs w:val="32"/>
        </w:rPr>
        <w:t>项目来源</w:t>
      </w:r>
    </w:p>
    <w:p w:rsidR="00090C59" w:rsidRDefault="00195444">
      <w:pPr>
        <w:pStyle w:val="a6"/>
        <w:spacing w:line="360" w:lineRule="auto"/>
        <w:ind w:firstLine="640"/>
        <w:rPr>
          <w:rFonts w:ascii="仿宋" w:eastAsia="仿宋" w:hAnsi="仿宋" w:cs="仿宋" w:hint="default"/>
          <w:sz w:val="32"/>
          <w:szCs w:val="28"/>
        </w:rPr>
      </w:pPr>
      <w:r>
        <w:rPr>
          <w:rFonts w:ascii="仿宋" w:eastAsia="仿宋" w:hAnsi="仿宋" w:cs="仿宋"/>
          <w:sz w:val="32"/>
          <w:szCs w:val="28"/>
        </w:rPr>
        <w:t>本标准</w:t>
      </w:r>
      <w:r>
        <w:rPr>
          <w:rFonts w:ascii="仿宋" w:eastAsia="仿宋" w:hAnsi="仿宋" w:cs="仿宋"/>
          <w:sz w:val="32"/>
          <w:szCs w:val="28"/>
        </w:rPr>
        <w:t>由江西绿色生态品牌建设促进会提出</w:t>
      </w:r>
      <w:r>
        <w:rPr>
          <w:rFonts w:ascii="仿宋" w:eastAsia="仿宋" w:hAnsi="仿宋" w:cs="仿宋"/>
          <w:sz w:val="32"/>
          <w:szCs w:val="28"/>
        </w:rPr>
        <w:t>，</w:t>
      </w:r>
      <w:r w:rsidR="006766E7">
        <w:rPr>
          <w:rFonts w:ascii="仿宋" w:eastAsia="仿宋" w:hAnsi="仿宋" w:cs="仿宋"/>
          <w:sz w:val="32"/>
          <w:szCs w:val="28"/>
        </w:rPr>
        <w:t>江西省</w:t>
      </w:r>
      <w:r w:rsidR="006766E7">
        <w:rPr>
          <w:rFonts w:ascii="仿宋" w:eastAsia="仿宋" w:hAnsi="仿宋" w:cs="仿宋" w:hint="default"/>
          <w:sz w:val="32"/>
          <w:szCs w:val="28"/>
        </w:rPr>
        <w:t>电瓷</w:t>
      </w:r>
      <w:r w:rsidR="006766E7">
        <w:rPr>
          <w:rFonts w:ascii="仿宋" w:eastAsia="仿宋" w:hAnsi="仿宋" w:cs="仿宋"/>
          <w:sz w:val="32"/>
          <w:szCs w:val="28"/>
        </w:rPr>
        <w:t>商会</w:t>
      </w:r>
      <w:r w:rsidR="006766E7">
        <w:rPr>
          <w:rFonts w:ascii="仿宋" w:eastAsia="仿宋" w:hAnsi="仿宋" w:cs="仿宋" w:hint="default"/>
          <w:sz w:val="32"/>
          <w:szCs w:val="28"/>
        </w:rPr>
        <w:t>、</w:t>
      </w:r>
      <w:r w:rsidR="006766E7">
        <w:rPr>
          <w:rFonts w:ascii="仿宋" w:eastAsia="仿宋" w:hAnsi="仿宋" w:cs="仿宋"/>
          <w:sz w:val="32"/>
          <w:szCs w:val="28"/>
        </w:rPr>
        <w:t>芦溪</w:t>
      </w:r>
      <w:r w:rsidR="006766E7">
        <w:rPr>
          <w:rFonts w:ascii="仿宋" w:eastAsia="仿宋" w:hAnsi="仿宋" w:cs="仿宋" w:hint="default"/>
          <w:sz w:val="32"/>
          <w:szCs w:val="28"/>
        </w:rPr>
        <w:t>县市场监督管理局、</w:t>
      </w:r>
      <w:bookmarkStart w:id="0" w:name="_GoBack"/>
      <w:bookmarkEnd w:id="0"/>
      <w:r>
        <w:rPr>
          <w:rFonts w:ascii="仿宋" w:eastAsia="仿宋" w:hAnsi="仿宋" w:cs="仿宋"/>
          <w:sz w:val="32"/>
          <w:szCs w:val="28"/>
        </w:rPr>
        <w:t>萍乡强盛电瓷制造有限公司、江西高强电瓷集团有限公司等龙头企业及江西省质量和标准化研究院</w:t>
      </w:r>
      <w:r>
        <w:rPr>
          <w:rFonts w:ascii="仿宋" w:eastAsia="仿宋" w:hAnsi="仿宋" w:cs="仿宋"/>
          <w:sz w:val="32"/>
          <w:szCs w:val="28"/>
        </w:rPr>
        <w:t>制定。</w:t>
      </w:r>
    </w:p>
    <w:p w:rsidR="00090C59" w:rsidRDefault="00195444">
      <w:pPr>
        <w:pStyle w:val="a6"/>
        <w:numPr>
          <w:ilvl w:val="0"/>
          <w:numId w:val="2"/>
        </w:numPr>
        <w:spacing w:line="360" w:lineRule="auto"/>
        <w:ind w:firstLineChars="0" w:firstLine="0"/>
        <w:rPr>
          <w:rFonts w:ascii="黑体" w:eastAsia="黑体" w:hAnsi="黑体" w:cs="黑体" w:hint="default"/>
          <w:sz w:val="32"/>
          <w:szCs w:val="28"/>
        </w:rPr>
      </w:pPr>
      <w:r>
        <w:rPr>
          <w:rFonts w:ascii="黑体" w:eastAsia="黑体" w:hAnsi="黑体" w:cs="黑体"/>
          <w:sz w:val="32"/>
          <w:szCs w:val="28"/>
        </w:rPr>
        <w:t>背景与意义</w:t>
      </w:r>
    </w:p>
    <w:p w:rsidR="00090C59" w:rsidRDefault="00195444">
      <w:pPr>
        <w:pStyle w:val="a6"/>
        <w:spacing w:line="360" w:lineRule="auto"/>
        <w:ind w:firstLineChars="0" w:firstLine="640"/>
        <w:rPr>
          <w:rFonts w:ascii="仿宋" w:eastAsia="仿宋" w:hAnsi="仿宋" w:cs="仿宋" w:hint="default"/>
          <w:sz w:val="32"/>
          <w:szCs w:val="28"/>
        </w:rPr>
      </w:pPr>
      <w:r>
        <w:rPr>
          <w:rFonts w:ascii="仿宋" w:eastAsia="仿宋" w:hAnsi="仿宋" w:cs="仿宋"/>
          <w:sz w:val="32"/>
          <w:szCs w:val="28"/>
        </w:rPr>
        <w:t>江西省芦溪县有“中国电瓷之都”的称号，近年来，芦溪举全县之力推动电瓷电气产业发展，按照“智能化制造、规模化生产、国际化销售、配套化建设”的发展思路，向着“世界电瓷看中国，中国电瓷看芦溪”目标不断迈进。。</w:t>
      </w:r>
    </w:p>
    <w:p w:rsidR="00090C59" w:rsidRDefault="00195444">
      <w:pPr>
        <w:pStyle w:val="a6"/>
        <w:spacing w:line="360" w:lineRule="auto"/>
        <w:ind w:firstLineChars="0" w:firstLine="640"/>
        <w:rPr>
          <w:rFonts w:ascii="仿宋" w:eastAsia="仿宋" w:hAnsi="仿宋" w:cs="仿宋" w:hint="default"/>
          <w:sz w:val="32"/>
          <w:szCs w:val="28"/>
        </w:rPr>
      </w:pPr>
      <w:r>
        <w:rPr>
          <w:rFonts w:ascii="仿宋" w:eastAsia="仿宋" w:hAnsi="仿宋" w:cs="仿宋"/>
          <w:sz w:val="32"/>
          <w:szCs w:val="28"/>
        </w:rPr>
        <w:t>为了引领我省电瓷产业进一步发展，利用我省现有产业基础和资源优势，通过制定团体标准《江西绿色生态</w:t>
      </w:r>
      <w:r>
        <w:rPr>
          <w:rFonts w:ascii="仿宋" w:eastAsia="仿宋" w:hAnsi="仿宋" w:cs="仿宋"/>
          <w:sz w:val="32"/>
          <w:szCs w:val="28"/>
        </w:rPr>
        <w:t xml:space="preserve"> </w:t>
      </w:r>
      <w:r>
        <w:rPr>
          <w:rFonts w:ascii="仿宋" w:eastAsia="仿宋" w:hAnsi="仿宋" w:cs="仿宋"/>
          <w:sz w:val="32"/>
          <w:szCs w:val="28"/>
        </w:rPr>
        <w:t>绝缘子》，以支撑我省绝缘子产品开展“江西绿色生态”产品检测和品牌认证。</w:t>
      </w:r>
    </w:p>
    <w:p w:rsidR="00090C59" w:rsidRDefault="00195444">
      <w:pPr>
        <w:pStyle w:val="a6"/>
        <w:numPr>
          <w:ilvl w:val="0"/>
          <w:numId w:val="2"/>
        </w:numPr>
        <w:spacing w:line="360" w:lineRule="auto"/>
        <w:ind w:firstLineChars="0" w:firstLine="0"/>
        <w:rPr>
          <w:rFonts w:ascii="黑体" w:eastAsia="黑体" w:hAnsi="黑体" w:cs="黑体" w:hint="default"/>
          <w:sz w:val="32"/>
          <w:szCs w:val="28"/>
        </w:rPr>
      </w:pPr>
      <w:r>
        <w:rPr>
          <w:rFonts w:ascii="黑体" w:eastAsia="黑体" w:hAnsi="黑体" w:cs="黑体"/>
          <w:sz w:val="32"/>
          <w:szCs w:val="28"/>
        </w:rPr>
        <w:t>标准化现状</w:t>
      </w:r>
    </w:p>
    <w:tbl>
      <w:tblPr>
        <w:tblStyle w:val="a5"/>
        <w:tblW w:w="0" w:type="auto"/>
        <w:tblLook w:val="04A0" w:firstRow="1" w:lastRow="0" w:firstColumn="1" w:lastColumn="0" w:noHBand="0" w:noVBand="1"/>
      </w:tblPr>
      <w:tblGrid>
        <w:gridCol w:w="2094"/>
        <w:gridCol w:w="3180"/>
        <w:gridCol w:w="3248"/>
      </w:tblGrid>
      <w:tr w:rsidR="00090C59">
        <w:tc>
          <w:tcPr>
            <w:tcW w:w="2094" w:type="dxa"/>
            <w:vAlign w:val="center"/>
          </w:tcPr>
          <w:p w:rsidR="00090C59" w:rsidRDefault="00195444">
            <w:pPr>
              <w:pStyle w:val="a6"/>
              <w:widowControl w:val="0"/>
              <w:spacing w:line="360" w:lineRule="auto"/>
              <w:ind w:firstLineChars="0" w:firstLine="0"/>
              <w:jc w:val="center"/>
              <w:rPr>
                <w:rFonts w:ascii="仿宋" w:eastAsia="仿宋" w:hAnsi="仿宋" w:cs="仿宋" w:hint="default"/>
                <w:sz w:val="32"/>
                <w:szCs w:val="28"/>
              </w:rPr>
            </w:pPr>
            <w:r>
              <w:rPr>
                <w:rFonts w:ascii="仿宋" w:eastAsia="仿宋" w:hAnsi="仿宋" w:cs="仿宋"/>
                <w:sz w:val="32"/>
                <w:szCs w:val="28"/>
              </w:rPr>
              <w:t>标准类型</w:t>
            </w:r>
          </w:p>
        </w:tc>
        <w:tc>
          <w:tcPr>
            <w:tcW w:w="3180" w:type="dxa"/>
            <w:vAlign w:val="center"/>
          </w:tcPr>
          <w:p w:rsidR="00090C59" w:rsidRDefault="00195444">
            <w:pPr>
              <w:pStyle w:val="a6"/>
              <w:widowControl w:val="0"/>
              <w:spacing w:line="360" w:lineRule="auto"/>
              <w:ind w:firstLineChars="0" w:firstLine="0"/>
              <w:jc w:val="center"/>
              <w:rPr>
                <w:rFonts w:ascii="仿宋" w:eastAsia="仿宋" w:hAnsi="仿宋" w:cs="仿宋" w:hint="default"/>
                <w:sz w:val="32"/>
                <w:szCs w:val="28"/>
              </w:rPr>
            </w:pPr>
            <w:r>
              <w:rPr>
                <w:rFonts w:ascii="仿宋" w:eastAsia="仿宋" w:hAnsi="仿宋" w:cs="仿宋"/>
                <w:sz w:val="32"/>
                <w:szCs w:val="28"/>
              </w:rPr>
              <w:t>标准编号</w:t>
            </w:r>
          </w:p>
        </w:tc>
        <w:tc>
          <w:tcPr>
            <w:tcW w:w="3248" w:type="dxa"/>
            <w:vAlign w:val="center"/>
          </w:tcPr>
          <w:p w:rsidR="00090C59" w:rsidRDefault="00195444">
            <w:pPr>
              <w:pStyle w:val="a6"/>
              <w:widowControl w:val="0"/>
              <w:spacing w:line="360" w:lineRule="auto"/>
              <w:ind w:firstLineChars="0" w:firstLine="0"/>
              <w:jc w:val="center"/>
              <w:rPr>
                <w:rFonts w:ascii="仿宋" w:eastAsia="仿宋" w:hAnsi="仿宋" w:cs="仿宋" w:hint="default"/>
                <w:sz w:val="32"/>
                <w:szCs w:val="28"/>
              </w:rPr>
            </w:pPr>
            <w:r>
              <w:rPr>
                <w:rFonts w:ascii="仿宋" w:eastAsia="仿宋" w:hAnsi="仿宋" w:cs="仿宋"/>
                <w:sz w:val="32"/>
                <w:szCs w:val="28"/>
              </w:rPr>
              <w:t>标准名称</w:t>
            </w:r>
          </w:p>
        </w:tc>
      </w:tr>
      <w:tr w:rsidR="00090C59">
        <w:tc>
          <w:tcPr>
            <w:tcW w:w="2094" w:type="dxa"/>
            <w:vMerge w:val="restart"/>
            <w:vAlign w:val="center"/>
          </w:tcPr>
          <w:p w:rsidR="00090C59" w:rsidRDefault="00195444">
            <w:pPr>
              <w:pStyle w:val="a6"/>
              <w:widowControl w:val="0"/>
              <w:spacing w:line="360" w:lineRule="auto"/>
              <w:ind w:firstLineChars="0" w:firstLine="0"/>
              <w:jc w:val="center"/>
              <w:rPr>
                <w:rFonts w:ascii="仿宋" w:eastAsia="仿宋" w:hAnsi="仿宋" w:cs="仿宋" w:hint="default"/>
                <w:sz w:val="32"/>
                <w:szCs w:val="28"/>
              </w:rPr>
            </w:pPr>
            <w:r>
              <w:rPr>
                <w:rFonts w:ascii="仿宋" w:eastAsia="仿宋" w:hAnsi="仿宋" w:cs="仿宋"/>
                <w:sz w:val="32"/>
                <w:szCs w:val="28"/>
              </w:rPr>
              <w:t>国家标准</w:t>
            </w:r>
          </w:p>
        </w:tc>
        <w:tc>
          <w:tcPr>
            <w:tcW w:w="3180" w:type="dxa"/>
            <w:vAlign w:val="center"/>
          </w:tcPr>
          <w:p w:rsidR="00090C59" w:rsidRDefault="00195444">
            <w:pPr>
              <w:pStyle w:val="a6"/>
              <w:widowControl w:val="0"/>
              <w:spacing w:line="360" w:lineRule="auto"/>
              <w:ind w:firstLineChars="0" w:firstLine="0"/>
              <w:jc w:val="center"/>
              <w:rPr>
                <w:rFonts w:ascii="仿宋" w:eastAsia="仿宋" w:hAnsi="仿宋" w:cs="仿宋" w:hint="default"/>
                <w:sz w:val="32"/>
                <w:szCs w:val="28"/>
              </w:rPr>
            </w:pPr>
            <w:r>
              <w:rPr>
                <w:rFonts w:ascii="仿宋" w:eastAsia="仿宋" w:hAnsi="仿宋" w:cs="仿宋"/>
                <w:sz w:val="32"/>
                <w:szCs w:val="28"/>
              </w:rPr>
              <w:t>GB/T 1001.1-2021</w:t>
            </w:r>
          </w:p>
        </w:tc>
        <w:tc>
          <w:tcPr>
            <w:tcW w:w="3248" w:type="dxa"/>
            <w:vAlign w:val="center"/>
          </w:tcPr>
          <w:p w:rsidR="00090C59" w:rsidRDefault="00195444">
            <w:pPr>
              <w:pStyle w:val="a6"/>
              <w:widowControl w:val="0"/>
              <w:spacing w:line="360" w:lineRule="auto"/>
              <w:ind w:firstLineChars="0" w:firstLine="0"/>
              <w:jc w:val="center"/>
              <w:rPr>
                <w:rFonts w:ascii="仿宋" w:eastAsia="仿宋" w:hAnsi="仿宋" w:cs="仿宋" w:hint="default"/>
                <w:sz w:val="32"/>
                <w:szCs w:val="28"/>
              </w:rPr>
            </w:pPr>
            <w:r>
              <w:rPr>
                <w:rFonts w:ascii="仿宋" w:eastAsia="仿宋" w:hAnsi="仿宋" w:cs="仿宋"/>
                <w:sz w:val="32"/>
                <w:szCs w:val="28"/>
              </w:rPr>
              <w:t>标称电压高于</w:t>
            </w:r>
            <w:r>
              <w:rPr>
                <w:rFonts w:ascii="仿宋" w:eastAsia="仿宋" w:hAnsi="仿宋" w:cs="仿宋"/>
                <w:sz w:val="32"/>
                <w:szCs w:val="28"/>
              </w:rPr>
              <w:t>1000V</w:t>
            </w:r>
            <w:r>
              <w:rPr>
                <w:rFonts w:ascii="仿宋" w:eastAsia="仿宋" w:hAnsi="仿宋" w:cs="仿宋"/>
                <w:sz w:val="32"/>
                <w:szCs w:val="28"/>
              </w:rPr>
              <w:t>的架空线路绝缘子</w:t>
            </w:r>
            <w:r>
              <w:rPr>
                <w:rFonts w:ascii="仿宋" w:eastAsia="仿宋" w:hAnsi="仿宋" w:cs="仿宋"/>
                <w:sz w:val="32"/>
                <w:szCs w:val="28"/>
              </w:rPr>
              <w:t xml:space="preserve"> </w:t>
            </w:r>
            <w:r>
              <w:rPr>
                <w:rFonts w:ascii="仿宋" w:eastAsia="仿宋" w:hAnsi="仿宋" w:cs="仿宋"/>
                <w:sz w:val="32"/>
                <w:szCs w:val="28"/>
              </w:rPr>
              <w:t>第</w:t>
            </w:r>
            <w:r>
              <w:rPr>
                <w:rFonts w:ascii="仿宋" w:eastAsia="仿宋" w:hAnsi="仿宋" w:cs="仿宋"/>
                <w:sz w:val="32"/>
                <w:szCs w:val="28"/>
              </w:rPr>
              <w:t>1</w:t>
            </w:r>
            <w:r>
              <w:rPr>
                <w:rFonts w:ascii="仿宋" w:eastAsia="仿宋" w:hAnsi="仿宋" w:cs="仿宋"/>
                <w:sz w:val="32"/>
                <w:szCs w:val="28"/>
              </w:rPr>
              <w:t>部分：交流系统</w:t>
            </w:r>
            <w:r>
              <w:rPr>
                <w:rFonts w:ascii="仿宋" w:eastAsia="仿宋" w:hAnsi="仿宋" w:cs="仿宋"/>
                <w:sz w:val="32"/>
                <w:szCs w:val="28"/>
              </w:rPr>
              <w:lastRenderedPageBreak/>
              <w:t>用瓷或玻璃绝缘子元件定义、试验方法和判定准则</w:t>
            </w:r>
          </w:p>
        </w:tc>
      </w:tr>
      <w:tr w:rsidR="00090C59">
        <w:tc>
          <w:tcPr>
            <w:tcW w:w="2094" w:type="dxa"/>
            <w:vMerge/>
            <w:vAlign w:val="center"/>
          </w:tcPr>
          <w:p w:rsidR="00090C59" w:rsidRDefault="00090C59">
            <w:pPr>
              <w:pStyle w:val="a6"/>
              <w:widowControl w:val="0"/>
              <w:spacing w:line="360" w:lineRule="auto"/>
              <w:ind w:firstLineChars="0" w:firstLine="0"/>
              <w:jc w:val="center"/>
              <w:rPr>
                <w:rFonts w:ascii="仿宋" w:eastAsia="仿宋" w:hAnsi="仿宋" w:cs="仿宋" w:hint="default"/>
                <w:sz w:val="32"/>
                <w:szCs w:val="28"/>
              </w:rPr>
            </w:pPr>
          </w:p>
        </w:tc>
        <w:tc>
          <w:tcPr>
            <w:tcW w:w="3180" w:type="dxa"/>
            <w:vAlign w:val="center"/>
          </w:tcPr>
          <w:p w:rsidR="00090C59" w:rsidRDefault="00195444">
            <w:pPr>
              <w:pStyle w:val="a6"/>
              <w:widowControl w:val="0"/>
              <w:spacing w:line="360" w:lineRule="auto"/>
              <w:ind w:firstLineChars="0" w:firstLine="0"/>
              <w:jc w:val="center"/>
              <w:rPr>
                <w:rFonts w:ascii="仿宋" w:eastAsia="仿宋" w:hAnsi="仿宋" w:cs="仿宋" w:hint="default"/>
                <w:sz w:val="32"/>
                <w:szCs w:val="28"/>
              </w:rPr>
            </w:pPr>
            <w:r>
              <w:rPr>
                <w:rFonts w:ascii="仿宋" w:eastAsia="仿宋" w:hAnsi="仿宋" w:cs="仿宋"/>
                <w:sz w:val="32"/>
                <w:szCs w:val="28"/>
              </w:rPr>
              <w:t>GB/T 21421.1-2021</w:t>
            </w:r>
          </w:p>
        </w:tc>
        <w:tc>
          <w:tcPr>
            <w:tcW w:w="3248" w:type="dxa"/>
            <w:vAlign w:val="center"/>
          </w:tcPr>
          <w:p w:rsidR="00090C59" w:rsidRDefault="00195444">
            <w:pPr>
              <w:pStyle w:val="a6"/>
              <w:widowControl w:val="0"/>
              <w:spacing w:line="360" w:lineRule="auto"/>
              <w:ind w:firstLineChars="0" w:firstLine="0"/>
              <w:jc w:val="center"/>
              <w:rPr>
                <w:rFonts w:ascii="仿宋" w:eastAsia="仿宋" w:hAnsi="仿宋" w:cs="仿宋" w:hint="default"/>
                <w:sz w:val="32"/>
                <w:szCs w:val="28"/>
              </w:rPr>
            </w:pPr>
            <w:r>
              <w:rPr>
                <w:rFonts w:ascii="仿宋" w:eastAsia="仿宋" w:hAnsi="仿宋" w:cs="仿宋"/>
                <w:sz w:val="32"/>
                <w:szCs w:val="28"/>
              </w:rPr>
              <w:t>标称电压高于</w:t>
            </w:r>
            <w:r>
              <w:rPr>
                <w:rFonts w:ascii="仿宋" w:eastAsia="仿宋" w:hAnsi="仿宋" w:cs="仿宋"/>
                <w:sz w:val="32"/>
                <w:szCs w:val="28"/>
              </w:rPr>
              <w:t>1000V</w:t>
            </w:r>
            <w:r>
              <w:rPr>
                <w:rFonts w:ascii="仿宋" w:eastAsia="仿宋" w:hAnsi="仿宋" w:cs="仿宋"/>
                <w:sz w:val="32"/>
                <w:szCs w:val="28"/>
              </w:rPr>
              <w:t>的架空线路用复合绝缘子串元件</w:t>
            </w:r>
            <w:r>
              <w:rPr>
                <w:rFonts w:ascii="仿宋" w:eastAsia="仿宋" w:hAnsi="仿宋" w:cs="仿宋"/>
                <w:sz w:val="32"/>
                <w:szCs w:val="28"/>
              </w:rPr>
              <w:t xml:space="preserve"> </w:t>
            </w:r>
            <w:r>
              <w:rPr>
                <w:rFonts w:ascii="仿宋" w:eastAsia="仿宋" w:hAnsi="仿宋" w:cs="仿宋"/>
                <w:sz w:val="32"/>
                <w:szCs w:val="28"/>
              </w:rPr>
              <w:t>第</w:t>
            </w:r>
            <w:r>
              <w:rPr>
                <w:rFonts w:ascii="仿宋" w:eastAsia="仿宋" w:hAnsi="仿宋" w:cs="仿宋"/>
                <w:sz w:val="32"/>
                <w:szCs w:val="28"/>
              </w:rPr>
              <w:t>1</w:t>
            </w:r>
            <w:r>
              <w:rPr>
                <w:rFonts w:ascii="仿宋" w:eastAsia="仿宋" w:hAnsi="仿宋" w:cs="仿宋"/>
                <w:sz w:val="32"/>
                <w:szCs w:val="28"/>
              </w:rPr>
              <w:t>部分：标准强度等级和端部装配件</w:t>
            </w:r>
          </w:p>
        </w:tc>
      </w:tr>
      <w:tr w:rsidR="00090C59">
        <w:tc>
          <w:tcPr>
            <w:tcW w:w="2094" w:type="dxa"/>
            <w:vMerge w:val="restart"/>
            <w:vAlign w:val="center"/>
          </w:tcPr>
          <w:p w:rsidR="00090C59" w:rsidRDefault="00195444">
            <w:pPr>
              <w:pStyle w:val="a6"/>
              <w:widowControl w:val="0"/>
              <w:spacing w:line="360" w:lineRule="auto"/>
              <w:ind w:firstLineChars="0" w:firstLine="0"/>
              <w:jc w:val="center"/>
              <w:rPr>
                <w:rFonts w:ascii="仿宋" w:eastAsia="仿宋" w:hAnsi="仿宋" w:cs="仿宋" w:hint="default"/>
                <w:sz w:val="32"/>
                <w:szCs w:val="28"/>
              </w:rPr>
            </w:pPr>
            <w:r>
              <w:rPr>
                <w:rFonts w:ascii="仿宋" w:eastAsia="仿宋" w:hAnsi="仿宋" w:cs="仿宋"/>
                <w:sz w:val="32"/>
                <w:szCs w:val="28"/>
              </w:rPr>
              <w:t>行业标准</w:t>
            </w:r>
          </w:p>
        </w:tc>
        <w:tc>
          <w:tcPr>
            <w:tcW w:w="3180" w:type="dxa"/>
            <w:vAlign w:val="center"/>
          </w:tcPr>
          <w:p w:rsidR="00090C59" w:rsidRDefault="00195444">
            <w:pPr>
              <w:pStyle w:val="a6"/>
              <w:widowControl w:val="0"/>
              <w:spacing w:line="360" w:lineRule="auto"/>
              <w:ind w:firstLineChars="0" w:firstLine="0"/>
              <w:jc w:val="center"/>
              <w:rPr>
                <w:rFonts w:ascii="仿宋" w:eastAsia="仿宋" w:hAnsi="仿宋" w:cs="仿宋" w:hint="default"/>
                <w:sz w:val="32"/>
                <w:szCs w:val="28"/>
              </w:rPr>
            </w:pPr>
            <w:r>
              <w:rPr>
                <w:rFonts w:ascii="仿宋" w:eastAsia="仿宋" w:hAnsi="仿宋" w:cs="仿宋"/>
                <w:sz w:val="32"/>
                <w:szCs w:val="28"/>
              </w:rPr>
              <w:t>DL/T 1000.1-2018</w:t>
            </w:r>
          </w:p>
        </w:tc>
        <w:tc>
          <w:tcPr>
            <w:tcW w:w="3248" w:type="dxa"/>
            <w:vAlign w:val="center"/>
          </w:tcPr>
          <w:p w:rsidR="00090C59" w:rsidRDefault="00195444">
            <w:pPr>
              <w:pStyle w:val="a6"/>
              <w:widowControl w:val="0"/>
              <w:spacing w:line="360" w:lineRule="auto"/>
              <w:ind w:firstLineChars="0" w:firstLine="0"/>
              <w:jc w:val="center"/>
              <w:rPr>
                <w:rFonts w:ascii="仿宋" w:eastAsia="仿宋" w:hAnsi="仿宋" w:cs="仿宋" w:hint="default"/>
                <w:sz w:val="32"/>
                <w:szCs w:val="28"/>
              </w:rPr>
            </w:pPr>
            <w:r>
              <w:rPr>
                <w:rFonts w:ascii="仿宋" w:eastAsia="仿宋" w:hAnsi="仿宋" w:cs="仿宋"/>
                <w:sz w:val="32"/>
                <w:szCs w:val="28"/>
              </w:rPr>
              <w:t>标称电压高于</w:t>
            </w:r>
            <w:r>
              <w:rPr>
                <w:rFonts w:ascii="仿宋" w:eastAsia="仿宋" w:hAnsi="仿宋" w:cs="仿宋"/>
                <w:sz w:val="32"/>
                <w:szCs w:val="28"/>
              </w:rPr>
              <w:t>1000V</w:t>
            </w:r>
            <w:r>
              <w:rPr>
                <w:rFonts w:ascii="仿宋" w:eastAsia="仿宋" w:hAnsi="仿宋" w:cs="仿宋"/>
                <w:sz w:val="32"/>
                <w:szCs w:val="28"/>
              </w:rPr>
              <w:t>架空线路绝缘子使用导则</w:t>
            </w:r>
            <w:r>
              <w:rPr>
                <w:rFonts w:ascii="仿宋" w:eastAsia="仿宋" w:hAnsi="仿宋" w:cs="仿宋"/>
                <w:sz w:val="32"/>
                <w:szCs w:val="28"/>
              </w:rPr>
              <w:t xml:space="preserve"> </w:t>
            </w:r>
            <w:r>
              <w:rPr>
                <w:rFonts w:ascii="仿宋" w:eastAsia="仿宋" w:hAnsi="仿宋" w:cs="仿宋"/>
                <w:sz w:val="32"/>
                <w:szCs w:val="28"/>
              </w:rPr>
              <w:t>第</w:t>
            </w:r>
            <w:r>
              <w:rPr>
                <w:rFonts w:ascii="仿宋" w:eastAsia="仿宋" w:hAnsi="仿宋" w:cs="仿宋"/>
                <w:sz w:val="32"/>
                <w:szCs w:val="28"/>
              </w:rPr>
              <w:t>1</w:t>
            </w:r>
            <w:r>
              <w:rPr>
                <w:rFonts w:ascii="仿宋" w:eastAsia="仿宋" w:hAnsi="仿宋" w:cs="仿宋"/>
                <w:sz w:val="32"/>
                <w:szCs w:val="28"/>
              </w:rPr>
              <w:t>部分：交流系统用瓷或玻璃绝缘子</w:t>
            </w:r>
          </w:p>
        </w:tc>
      </w:tr>
      <w:tr w:rsidR="00090C59">
        <w:tc>
          <w:tcPr>
            <w:tcW w:w="2094" w:type="dxa"/>
            <w:vMerge/>
            <w:vAlign w:val="center"/>
          </w:tcPr>
          <w:p w:rsidR="00090C59" w:rsidRDefault="00090C59">
            <w:pPr>
              <w:pStyle w:val="a6"/>
              <w:widowControl w:val="0"/>
              <w:spacing w:line="360" w:lineRule="auto"/>
              <w:ind w:firstLineChars="0" w:firstLine="0"/>
              <w:jc w:val="center"/>
              <w:rPr>
                <w:rFonts w:ascii="仿宋" w:eastAsia="仿宋" w:hAnsi="仿宋" w:cs="仿宋" w:hint="default"/>
                <w:sz w:val="32"/>
                <w:szCs w:val="28"/>
              </w:rPr>
            </w:pPr>
          </w:p>
        </w:tc>
        <w:tc>
          <w:tcPr>
            <w:tcW w:w="3180" w:type="dxa"/>
            <w:vAlign w:val="center"/>
          </w:tcPr>
          <w:p w:rsidR="00090C59" w:rsidRDefault="00195444">
            <w:pPr>
              <w:pStyle w:val="a6"/>
              <w:widowControl w:val="0"/>
              <w:spacing w:line="360" w:lineRule="auto"/>
              <w:ind w:firstLineChars="0" w:firstLine="0"/>
              <w:jc w:val="center"/>
              <w:rPr>
                <w:rFonts w:ascii="仿宋" w:eastAsia="仿宋" w:hAnsi="仿宋" w:cs="仿宋" w:hint="default"/>
                <w:sz w:val="32"/>
                <w:szCs w:val="28"/>
              </w:rPr>
            </w:pPr>
            <w:r>
              <w:rPr>
                <w:rFonts w:ascii="仿宋" w:eastAsia="仿宋" w:hAnsi="仿宋" w:cs="仿宋"/>
                <w:sz w:val="32"/>
                <w:szCs w:val="28"/>
              </w:rPr>
              <w:t>DL/T 1000.4-2018</w:t>
            </w:r>
          </w:p>
        </w:tc>
        <w:tc>
          <w:tcPr>
            <w:tcW w:w="3248" w:type="dxa"/>
            <w:vAlign w:val="center"/>
          </w:tcPr>
          <w:p w:rsidR="00090C59" w:rsidRDefault="00195444">
            <w:pPr>
              <w:pStyle w:val="a6"/>
              <w:widowControl w:val="0"/>
              <w:spacing w:line="360" w:lineRule="auto"/>
              <w:ind w:firstLineChars="0" w:firstLine="0"/>
              <w:jc w:val="center"/>
              <w:rPr>
                <w:rFonts w:ascii="仿宋" w:eastAsia="仿宋" w:hAnsi="仿宋" w:cs="仿宋" w:hint="default"/>
                <w:sz w:val="32"/>
                <w:szCs w:val="28"/>
              </w:rPr>
            </w:pPr>
            <w:r>
              <w:rPr>
                <w:rFonts w:ascii="仿宋" w:eastAsia="仿宋" w:hAnsi="仿宋" w:cs="仿宋"/>
                <w:sz w:val="32"/>
                <w:szCs w:val="28"/>
              </w:rPr>
              <w:t>标称电压高于</w:t>
            </w:r>
            <w:r>
              <w:rPr>
                <w:rFonts w:ascii="仿宋" w:eastAsia="仿宋" w:hAnsi="仿宋" w:cs="仿宋"/>
                <w:sz w:val="32"/>
                <w:szCs w:val="28"/>
              </w:rPr>
              <w:t>1000V</w:t>
            </w:r>
            <w:r>
              <w:rPr>
                <w:rFonts w:ascii="仿宋" w:eastAsia="仿宋" w:hAnsi="仿宋" w:cs="仿宋"/>
                <w:sz w:val="32"/>
                <w:szCs w:val="28"/>
              </w:rPr>
              <w:t>架空线路绝缘子使用导则</w:t>
            </w:r>
            <w:r>
              <w:rPr>
                <w:rFonts w:ascii="仿宋" w:eastAsia="仿宋" w:hAnsi="仿宋" w:cs="仿宋"/>
                <w:sz w:val="32"/>
                <w:szCs w:val="28"/>
              </w:rPr>
              <w:t xml:space="preserve"> </w:t>
            </w:r>
            <w:r>
              <w:rPr>
                <w:rFonts w:ascii="仿宋" w:eastAsia="仿宋" w:hAnsi="仿宋" w:cs="仿宋"/>
                <w:sz w:val="32"/>
                <w:szCs w:val="28"/>
              </w:rPr>
              <w:t>第</w:t>
            </w:r>
            <w:r>
              <w:rPr>
                <w:rFonts w:ascii="仿宋" w:eastAsia="仿宋" w:hAnsi="仿宋" w:cs="仿宋"/>
                <w:sz w:val="32"/>
                <w:szCs w:val="28"/>
              </w:rPr>
              <w:t>4</w:t>
            </w:r>
            <w:r>
              <w:rPr>
                <w:rFonts w:ascii="仿宋" w:eastAsia="仿宋" w:hAnsi="仿宋" w:cs="仿宋"/>
                <w:sz w:val="32"/>
                <w:szCs w:val="28"/>
              </w:rPr>
              <w:t>部分：直流系统用棒形悬式复合绝缘子</w:t>
            </w:r>
          </w:p>
        </w:tc>
      </w:tr>
    </w:tbl>
    <w:p w:rsidR="00090C59" w:rsidRDefault="00195444">
      <w:pPr>
        <w:pStyle w:val="a6"/>
        <w:numPr>
          <w:ilvl w:val="0"/>
          <w:numId w:val="2"/>
        </w:numPr>
        <w:spacing w:line="360" w:lineRule="auto"/>
        <w:ind w:firstLineChars="0" w:firstLine="0"/>
        <w:rPr>
          <w:rFonts w:ascii="黑体" w:eastAsia="黑体" w:hAnsi="黑体" w:cs="黑体" w:hint="default"/>
          <w:sz w:val="32"/>
          <w:szCs w:val="28"/>
        </w:rPr>
      </w:pPr>
      <w:r>
        <w:rPr>
          <w:rFonts w:ascii="黑体" w:eastAsia="黑体" w:hAnsi="黑体" w:cs="黑体"/>
          <w:sz w:val="32"/>
          <w:szCs w:val="28"/>
        </w:rPr>
        <w:t>标准水平分析</w:t>
      </w:r>
    </w:p>
    <w:p w:rsidR="00090C59" w:rsidRDefault="00195444">
      <w:pPr>
        <w:pStyle w:val="a6"/>
        <w:spacing w:line="360" w:lineRule="auto"/>
        <w:ind w:firstLineChars="0" w:firstLine="640"/>
        <w:rPr>
          <w:rFonts w:ascii="仿宋" w:eastAsia="仿宋" w:hAnsi="仿宋" w:cs="仿宋" w:hint="default"/>
          <w:sz w:val="32"/>
          <w:szCs w:val="28"/>
        </w:rPr>
      </w:pPr>
      <w:r>
        <w:rPr>
          <w:rFonts w:ascii="仿宋" w:eastAsia="仿宋" w:hAnsi="仿宋" w:cs="仿宋"/>
          <w:sz w:val="32"/>
          <w:szCs w:val="28"/>
        </w:rPr>
        <w:t>本标准遵循</w:t>
      </w:r>
      <w:r>
        <w:rPr>
          <w:rFonts w:ascii="仿宋" w:eastAsia="仿宋" w:hAnsi="仿宋" w:cs="仿宋"/>
          <w:sz w:val="32"/>
          <w:szCs w:val="28"/>
        </w:rPr>
        <w:t>DB36/T 1138-2019</w:t>
      </w:r>
      <w:r>
        <w:rPr>
          <w:rFonts w:ascii="仿宋" w:eastAsia="仿宋" w:hAnsi="仿宋" w:cs="仿宋"/>
          <w:sz w:val="32"/>
          <w:szCs w:val="28"/>
        </w:rPr>
        <w:t>《“江西绿色生态”品牌评价要求》的要求，从资源节约、环境保护、生态协同、质量引领四个一级指标入手，设计对应的二级指标。</w:t>
      </w:r>
    </w:p>
    <w:p w:rsidR="00090C59" w:rsidRDefault="00195444">
      <w:pPr>
        <w:pStyle w:val="a6"/>
        <w:numPr>
          <w:ilvl w:val="0"/>
          <w:numId w:val="3"/>
        </w:numPr>
        <w:spacing w:line="360" w:lineRule="auto"/>
        <w:ind w:firstLine="640"/>
        <w:rPr>
          <w:rFonts w:ascii="仿宋" w:eastAsia="仿宋" w:hAnsi="仿宋" w:cs="仿宋" w:hint="default"/>
          <w:sz w:val="32"/>
          <w:szCs w:val="28"/>
        </w:rPr>
      </w:pPr>
      <w:r>
        <w:rPr>
          <w:rFonts w:ascii="仿宋" w:eastAsia="仿宋" w:hAnsi="仿宋" w:cs="仿宋"/>
          <w:sz w:val="32"/>
          <w:szCs w:val="28"/>
        </w:rPr>
        <w:lastRenderedPageBreak/>
        <w:t>资源节约</w:t>
      </w:r>
    </w:p>
    <w:p w:rsidR="00090C59" w:rsidRDefault="00195444">
      <w:pPr>
        <w:pStyle w:val="a6"/>
        <w:spacing w:line="360" w:lineRule="auto"/>
        <w:ind w:firstLineChars="0" w:firstLine="0"/>
        <w:rPr>
          <w:rFonts w:ascii="仿宋" w:eastAsia="仿宋" w:hAnsi="仿宋" w:cs="仿宋" w:hint="default"/>
          <w:sz w:val="32"/>
          <w:szCs w:val="40"/>
        </w:rPr>
      </w:pPr>
      <w:r>
        <w:rPr>
          <w:rFonts w:ascii="仿宋" w:eastAsia="仿宋" w:hAnsi="仿宋" w:cs="仿宋"/>
          <w:sz w:val="32"/>
          <w:szCs w:val="28"/>
        </w:rPr>
        <w:t xml:space="preserve">   </w:t>
      </w:r>
      <w:r>
        <w:rPr>
          <w:rFonts w:ascii="仿宋" w:eastAsia="仿宋" w:hAnsi="仿宋" w:cs="仿宋"/>
          <w:sz w:val="32"/>
          <w:szCs w:val="28"/>
        </w:rPr>
        <w:t>资</w:t>
      </w:r>
      <w:r>
        <w:rPr>
          <w:rFonts w:ascii="仿宋" w:eastAsia="仿宋" w:hAnsi="仿宋" w:cs="仿宋"/>
          <w:sz w:val="32"/>
          <w:szCs w:val="40"/>
        </w:rPr>
        <w:t>源节约要求企业在生产过程中做到节料、节水、节能。</w:t>
      </w:r>
      <w:r>
        <w:rPr>
          <w:rFonts w:ascii="仿宋" w:eastAsia="仿宋" w:hAnsi="仿宋" w:cs="仿宋"/>
          <w:sz w:val="32"/>
          <w:szCs w:val="40"/>
        </w:rPr>
        <w:t>第一，</w:t>
      </w:r>
      <w:r>
        <w:rPr>
          <w:rFonts w:ascii="仿宋" w:eastAsia="仿宋" w:hAnsi="仿宋" w:cs="仿宋"/>
          <w:sz w:val="32"/>
          <w:szCs w:val="40"/>
        </w:rPr>
        <w:t>遵循技术先进、质量可靠、产品安全、经济可行的原则，制定原材料节约和废弃物循环利用的制度和方案，积极引进并采用先进的设计理念、工艺和设备提高原材料利用率</w:t>
      </w:r>
      <w:r>
        <w:rPr>
          <w:rFonts w:ascii="仿宋" w:eastAsia="仿宋" w:hAnsi="仿宋" w:cs="仿宋"/>
          <w:sz w:val="32"/>
          <w:szCs w:val="40"/>
        </w:rPr>
        <w:t>，</w:t>
      </w:r>
      <w:r>
        <w:rPr>
          <w:rFonts w:ascii="仿宋" w:eastAsia="仿宋" w:hAnsi="仿宋" w:cs="仿宋"/>
          <w:sz w:val="32"/>
          <w:szCs w:val="40"/>
        </w:rPr>
        <w:t>第二，企业生产制造用水符合地方标准</w:t>
      </w:r>
      <w:r>
        <w:rPr>
          <w:rFonts w:ascii="仿宋" w:eastAsia="仿宋" w:hAnsi="仿宋" w:cs="仿宋"/>
          <w:sz w:val="32"/>
          <w:szCs w:val="40"/>
        </w:rPr>
        <w:t>相关</w:t>
      </w:r>
      <w:r>
        <w:rPr>
          <w:rFonts w:ascii="仿宋" w:eastAsia="仿宋" w:hAnsi="仿宋" w:cs="仿宋"/>
          <w:sz w:val="32"/>
          <w:szCs w:val="40"/>
        </w:rPr>
        <w:t>要求，合理用水；第三，企业应使用清洁能源和可再生能源，建立能源管理体系，制定能源节约、余热余压循环利用的制度和措施</w:t>
      </w:r>
      <w:r>
        <w:rPr>
          <w:rFonts w:ascii="仿宋" w:eastAsia="仿宋" w:hAnsi="仿宋" w:cs="仿宋"/>
          <w:sz w:val="32"/>
          <w:szCs w:val="40"/>
        </w:rPr>
        <w:t>。</w:t>
      </w:r>
    </w:p>
    <w:p w:rsidR="00090C59" w:rsidRDefault="00195444">
      <w:pPr>
        <w:pStyle w:val="a6"/>
        <w:spacing w:line="360" w:lineRule="auto"/>
        <w:ind w:firstLineChars="0" w:firstLine="0"/>
        <w:rPr>
          <w:rFonts w:ascii="仿宋" w:eastAsia="仿宋" w:hAnsi="仿宋" w:cs="仿宋" w:hint="default"/>
          <w:sz w:val="32"/>
          <w:szCs w:val="40"/>
        </w:rPr>
      </w:pPr>
      <w:r>
        <w:rPr>
          <w:rFonts w:ascii="仿宋" w:eastAsia="仿宋" w:hAnsi="仿宋" w:cs="仿宋"/>
          <w:sz w:val="32"/>
          <w:szCs w:val="40"/>
        </w:rPr>
        <w:t xml:space="preserve">    </w:t>
      </w:r>
      <w:r>
        <w:rPr>
          <w:rFonts w:ascii="仿宋" w:eastAsia="仿宋" w:hAnsi="仿宋" w:cs="仿宋"/>
          <w:sz w:val="32"/>
          <w:szCs w:val="40"/>
        </w:rPr>
        <w:t>（二）环境保护</w:t>
      </w:r>
    </w:p>
    <w:p w:rsidR="00090C59" w:rsidRDefault="00195444">
      <w:pPr>
        <w:pStyle w:val="a6"/>
        <w:spacing w:line="360" w:lineRule="auto"/>
        <w:ind w:firstLineChars="0" w:firstLine="640"/>
        <w:rPr>
          <w:rFonts w:ascii="仿宋" w:eastAsia="仿宋" w:hAnsi="仿宋" w:cs="仿宋" w:hint="default"/>
          <w:sz w:val="32"/>
          <w:szCs w:val="40"/>
        </w:rPr>
      </w:pPr>
      <w:r>
        <w:rPr>
          <w:rFonts w:ascii="仿宋" w:eastAsia="仿宋" w:hAnsi="仿宋" w:cs="仿宋"/>
          <w:sz w:val="32"/>
          <w:szCs w:val="40"/>
        </w:rPr>
        <w:t>环境保护要求企业制定降尘、降噪、排污等环境管理制度和方案，使用无害原材料，禁止使用国家命令禁止的淘汰设备、工艺技术</w:t>
      </w:r>
      <w:r>
        <w:rPr>
          <w:rFonts w:ascii="仿宋" w:eastAsia="仿宋" w:hAnsi="仿宋" w:cs="仿宋"/>
          <w:sz w:val="32"/>
          <w:szCs w:val="40"/>
        </w:rPr>
        <w:t>，</w:t>
      </w:r>
      <w:r>
        <w:rPr>
          <w:rFonts w:ascii="仿宋" w:eastAsia="仿宋" w:hAnsi="仿宋" w:cs="仿宋"/>
          <w:sz w:val="32"/>
          <w:szCs w:val="40"/>
        </w:rPr>
        <w:t>排放的工业噪声、污染物、有害气体及固体废弃物贮存和处置场所符合相应国家标准的要求</w:t>
      </w:r>
      <w:r>
        <w:rPr>
          <w:rFonts w:ascii="仿宋" w:eastAsia="仿宋" w:hAnsi="仿宋" w:cs="仿宋"/>
          <w:sz w:val="32"/>
          <w:szCs w:val="40"/>
        </w:rPr>
        <w:t>。</w:t>
      </w:r>
    </w:p>
    <w:p w:rsidR="00090C59" w:rsidRDefault="00195444">
      <w:pPr>
        <w:pStyle w:val="a6"/>
        <w:spacing w:line="360" w:lineRule="auto"/>
        <w:ind w:leftChars="200" w:left="420" w:firstLineChars="0" w:firstLine="0"/>
        <w:rPr>
          <w:rFonts w:ascii="仿宋" w:eastAsia="仿宋" w:hAnsi="仿宋" w:cs="仿宋" w:hint="default"/>
          <w:sz w:val="32"/>
          <w:szCs w:val="40"/>
        </w:rPr>
      </w:pPr>
      <w:r>
        <w:rPr>
          <w:rFonts w:ascii="仿宋" w:eastAsia="仿宋" w:hAnsi="仿宋" w:cs="仿宋"/>
          <w:sz w:val="32"/>
          <w:szCs w:val="40"/>
        </w:rPr>
        <w:t>（三）生态协同</w:t>
      </w:r>
    </w:p>
    <w:p w:rsidR="00090C59" w:rsidRDefault="00195444">
      <w:pPr>
        <w:pStyle w:val="a6"/>
        <w:spacing w:line="360" w:lineRule="auto"/>
        <w:ind w:firstLineChars="0" w:firstLine="640"/>
        <w:rPr>
          <w:rFonts w:ascii="仿宋" w:eastAsia="仿宋" w:hAnsi="仿宋" w:cs="仿宋" w:hint="default"/>
          <w:sz w:val="32"/>
          <w:szCs w:val="40"/>
        </w:rPr>
      </w:pPr>
      <w:r>
        <w:rPr>
          <w:rFonts w:ascii="仿宋" w:eastAsia="仿宋" w:hAnsi="仿宋" w:cs="仿宋"/>
          <w:sz w:val="32"/>
          <w:szCs w:val="40"/>
        </w:rPr>
        <w:t>生产企业应按照</w:t>
      </w:r>
      <w:r>
        <w:rPr>
          <w:rFonts w:ascii="仿宋" w:eastAsia="仿宋" w:hAnsi="仿宋" w:cs="仿宋"/>
          <w:sz w:val="32"/>
          <w:szCs w:val="40"/>
        </w:rPr>
        <w:t>GB/T 33635</w:t>
      </w:r>
      <w:r>
        <w:rPr>
          <w:rFonts w:ascii="仿宋" w:eastAsia="仿宋" w:hAnsi="仿宋" w:cs="仿宋"/>
          <w:sz w:val="32"/>
          <w:szCs w:val="40"/>
        </w:rPr>
        <w:t>的要求，推行绿色供应链管理，带动供应链上下游企业持续提高资源能源利用效率，改善环境绩效，实现绿色发展。</w:t>
      </w:r>
      <w:r>
        <w:rPr>
          <w:rFonts w:ascii="仿宋" w:eastAsia="仿宋" w:hAnsi="仿宋" w:cs="仿宋"/>
          <w:sz w:val="32"/>
          <w:szCs w:val="40"/>
        </w:rPr>
        <w:t xml:space="preserve"> </w:t>
      </w:r>
      <w:r>
        <w:rPr>
          <w:rFonts w:ascii="仿宋" w:eastAsia="仿宋" w:hAnsi="仿宋" w:cs="仿宋"/>
          <w:sz w:val="32"/>
          <w:szCs w:val="40"/>
        </w:rPr>
        <w:t>应按照</w:t>
      </w:r>
      <w:r>
        <w:rPr>
          <w:rFonts w:ascii="仿宋" w:eastAsia="仿宋" w:hAnsi="仿宋" w:cs="仿宋"/>
          <w:sz w:val="32"/>
          <w:szCs w:val="40"/>
        </w:rPr>
        <w:t>GB/T 24256</w:t>
      </w:r>
      <w:r>
        <w:rPr>
          <w:rFonts w:ascii="仿宋" w:eastAsia="仿宋" w:hAnsi="仿宋" w:cs="仿宋"/>
          <w:sz w:val="32"/>
          <w:szCs w:val="40"/>
        </w:rPr>
        <w:t>的要求，以生态环境的负面影响最小作为基本原则。</w:t>
      </w:r>
    </w:p>
    <w:p w:rsidR="00090C59" w:rsidRDefault="00195444">
      <w:pPr>
        <w:pStyle w:val="a6"/>
        <w:spacing w:line="360" w:lineRule="auto"/>
        <w:ind w:firstLineChars="0" w:firstLine="640"/>
        <w:rPr>
          <w:rFonts w:ascii="仿宋" w:eastAsia="仿宋" w:hAnsi="仿宋" w:cs="仿宋" w:hint="default"/>
          <w:sz w:val="32"/>
          <w:szCs w:val="40"/>
        </w:rPr>
      </w:pPr>
      <w:r>
        <w:rPr>
          <w:rFonts w:ascii="仿宋" w:eastAsia="仿宋" w:hAnsi="仿宋" w:cs="仿宋"/>
          <w:sz w:val="32"/>
          <w:szCs w:val="40"/>
        </w:rPr>
        <w:t>（四）质量引领</w:t>
      </w:r>
    </w:p>
    <w:p w:rsidR="00090C59" w:rsidRDefault="00195444">
      <w:pPr>
        <w:ind w:firstLineChars="200" w:firstLine="640"/>
        <w:jc w:val="left"/>
        <w:rPr>
          <w:rFonts w:ascii="仿宋" w:eastAsia="仿宋" w:hAnsi="仿宋" w:cs="仿宋"/>
          <w:sz w:val="32"/>
          <w:szCs w:val="40"/>
        </w:rPr>
      </w:pPr>
      <w:r>
        <w:rPr>
          <w:rFonts w:ascii="仿宋" w:eastAsia="仿宋" w:hAnsi="仿宋" w:cs="仿宋" w:hint="eastAsia"/>
          <w:sz w:val="32"/>
          <w:szCs w:val="40"/>
        </w:rPr>
        <w:t>“江西绿色生态</w:t>
      </w:r>
      <w:r>
        <w:rPr>
          <w:rFonts w:ascii="仿宋" w:eastAsia="仿宋" w:hAnsi="仿宋" w:cs="仿宋" w:hint="eastAsia"/>
          <w:sz w:val="32"/>
          <w:szCs w:val="40"/>
        </w:rPr>
        <w:t xml:space="preserve"> </w:t>
      </w:r>
      <w:r>
        <w:rPr>
          <w:rFonts w:ascii="仿宋" w:eastAsia="仿宋" w:hAnsi="仿宋" w:cs="仿宋" w:hint="eastAsia"/>
          <w:sz w:val="32"/>
          <w:szCs w:val="40"/>
        </w:rPr>
        <w:t>绝缘子</w:t>
      </w:r>
      <w:r>
        <w:rPr>
          <w:rFonts w:ascii="仿宋" w:eastAsia="仿宋" w:hAnsi="仿宋" w:cs="仿宋" w:hint="eastAsia"/>
          <w:sz w:val="32"/>
          <w:szCs w:val="40"/>
        </w:rPr>
        <w:t>”产品质量指标水平说明：</w:t>
      </w:r>
    </w:p>
    <w:p w:rsidR="00090C59" w:rsidRDefault="00195444">
      <w:pPr>
        <w:ind w:firstLineChars="200" w:firstLine="640"/>
        <w:jc w:val="left"/>
        <w:rPr>
          <w:rFonts w:ascii="仿宋" w:eastAsia="仿宋" w:hAnsi="仿宋" w:cs="仿宋"/>
          <w:sz w:val="32"/>
          <w:szCs w:val="40"/>
        </w:rPr>
      </w:pPr>
      <w:r>
        <w:rPr>
          <w:rFonts w:ascii="仿宋" w:eastAsia="仿宋" w:hAnsi="仿宋" w:cs="仿宋" w:hint="eastAsia"/>
          <w:sz w:val="32"/>
          <w:szCs w:val="40"/>
        </w:rPr>
        <w:t>在规定的试验条件下，产品的规定破坏负荷在国家标准规定的基础上提高</w:t>
      </w:r>
      <w:r>
        <w:rPr>
          <w:rFonts w:ascii="仿宋" w:eastAsia="仿宋" w:hAnsi="仿宋" w:cs="仿宋" w:hint="eastAsia"/>
          <w:sz w:val="32"/>
          <w:szCs w:val="40"/>
        </w:rPr>
        <w:t>20%</w:t>
      </w:r>
      <w:r>
        <w:rPr>
          <w:rFonts w:ascii="仿宋" w:eastAsia="仿宋" w:hAnsi="仿宋" w:cs="仿宋" w:hint="eastAsia"/>
          <w:sz w:val="32"/>
          <w:szCs w:val="40"/>
        </w:rPr>
        <w:t>。</w:t>
      </w:r>
    </w:p>
    <w:p w:rsidR="00090C59" w:rsidRDefault="00090C59">
      <w:pPr>
        <w:ind w:firstLineChars="200" w:firstLine="640"/>
        <w:jc w:val="left"/>
        <w:rPr>
          <w:rFonts w:ascii="仿宋" w:eastAsia="仿宋" w:hAnsi="仿宋" w:cs="仿宋"/>
          <w:sz w:val="32"/>
          <w:szCs w:val="40"/>
        </w:rPr>
      </w:pPr>
    </w:p>
    <w:p w:rsidR="00090C59" w:rsidRDefault="00195444">
      <w:pPr>
        <w:ind w:firstLineChars="200" w:firstLine="643"/>
        <w:jc w:val="center"/>
        <w:rPr>
          <w:rFonts w:ascii="仿宋" w:eastAsia="仿宋" w:hAnsi="仿宋" w:cs="仿宋"/>
          <w:b/>
          <w:bCs/>
          <w:sz w:val="32"/>
          <w:szCs w:val="40"/>
        </w:rPr>
      </w:pPr>
      <w:r>
        <w:rPr>
          <w:rFonts w:ascii="仿宋" w:eastAsia="仿宋" w:hAnsi="仿宋" w:cs="仿宋" w:hint="eastAsia"/>
          <w:b/>
          <w:bCs/>
          <w:sz w:val="32"/>
          <w:szCs w:val="40"/>
        </w:rPr>
        <w:t>表</w:t>
      </w:r>
      <w:r>
        <w:rPr>
          <w:rFonts w:ascii="仿宋" w:eastAsia="仿宋" w:hAnsi="仿宋" w:cs="仿宋" w:hint="eastAsia"/>
          <w:b/>
          <w:bCs/>
          <w:sz w:val="32"/>
          <w:szCs w:val="40"/>
        </w:rPr>
        <w:t xml:space="preserve">1 </w:t>
      </w:r>
      <w:r>
        <w:rPr>
          <w:rFonts w:ascii="仿宋" w:eastAsia="仿宋" w:hAnsi="仿宋" w:cs="仿宋" w:hint="eastAsia"/>
          <w:b/>
          <w:bCs/>
          <w:sz w:val="32"/>
          <w:szCs w:val="40"/>
        </w:rPr>
        <w:t>“江西绿色生态</w:t>
      </w:r>
      <w:r>
        <w:rPr>
          <w:rFonts w:ascii="仿宋" w:eastAsia="仿宋" w:hAnsi="仿宋" w:cs="仿宋" w:hint="eastAsia"/>
          <w:b/>
          <w:bCs/>
          <w:sz w:val="32"/>
          <w:szCs w:val="40"/>
        </w:rPr>
        <w:t xml:space="preserve"> </w:t>
      </w:r>
      <w:r>
        <w:rPr>
          <w:rFonts w:ascii="仿宋" w:eastAsia="仿宋" w:hAnsi="仿宋" w:cs="仿宋" w:hint="eastAsia"/>
          <w:b/>
          <w:bCs/>
          <w:sz w:val="32"/>
          <w:szCs w:val="40"/>
        </w:rPr>
        <w:t>绝缘子”试验项目</w:t>
      </w:r>
    </w:p>
    <w:tbl>
      <w:tblPr>
        <w:tblStyle w:val="a5"/>
        <w:tblW w:w="10690"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79"/>
        <w:gridCol w:w="1030"/>
        <w:gridCol w:w="1080"/>
        <w:gridCol w:w="4324"/>
        <w:gridCol w:w="2178"/>
        <w:gridCol w:w="1299"/>
      </w:tblGrid>
      <w:tr w:rsidR="00090C59">
        <w:trPr>
          <w:trHeight w:val="229"/>
          <w:tblHeader/>
          <w:jc w:val="center"/>
        </w:trPr>
        <w:tc>
          <w:tcPr>
            <w:tcW w:w="779" w:type="dxa"/>
            <w:tcBorders>
              <w:top w:val="single" w:sz="8" w:space="0" w:color="auto"/>
              <w:left w:val="single" w:sz="4" w:space="0" w:color="auto"/>
              <w:bottom w:val="single" w:sz="4" w:space="0" w:color="auto"/>
              <w:right w:val="single" w:sz="4" w:space="0" w:color="auto"/>
            </w:tcBorders>
            <w:shd w:val="clear" w:color="auto" w:fill="auto"/>
          </w:tcPr>
          <w:p w:rsidR="00090C59" w:rsidRDefault="00195444">
            <w:pPr>
              <w:pStyle w:val="a7"/>
              <w:rPr>
                <w:rFonts w:hint="default"/>
              </w:rPr>
            </w:pPr>
            <w:r>
              <w:t>一级指标</w:t>
            </w:r>
          </w:p>
        </w:tc>
        <w:tc>
          <w:tcPr>
            <w:tcW w:w="2110" w:type="dxa"/>
            <w:gridSpan w:val="2"/>
            <w:tcBorders>
              <w:top w:val="single" w:sz="8" w:space="0" w:color="auto"/>
              <w:left w:val="single" w:sz="4" w:space="0" w:color="auto"/>
              <w:bottom w:val="single" w:sz="4" w:space="0" w:color="auto"/>
              <w:right w:val="single" w:sz="4" w:space="0" w:color="auto"/>
            </w:tcBorders>
            <w:shd w:val="clear" w:color="auto" w:fill="auto"/>
          </w:tcPr>
          <w:p w:rsidR="00090C59" w:rsidRDefault="00195444">
            <w:pPr>
              <w:pStyle w:val="a7"/>
              <w:rPr>
                <w:rFonts w:hint="default"/>
              </w:rPr>
            </w:pPr>
            <w:r>
              <w:t>二级指标</w:t>
            </w:r>
          </w:p>
        </w:tc>
        <w:tc>
          <w:tcPr>
            <w:tcW w:w="4324" w:type="dxa"/>
            <w:tcBorders>
              <w:top w:val="single" w:sz="8"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国家标准</w:t>
            </w:r>
            <w:r>
              <w:t>要求</w:t>
            </w:r>
          </w:p>
        </w:tc>
        <w:tc>
          <w:tcPr>
            <w:tcW w:w="2178" w:type="dxa"/>
            <w:tcBorders>
              <w:top w:val="single" w:sz="8"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检测值</w:t>
            </w:r>
          </w:p>
        </w:tc>
        <w:tc>
          <w:tcPr>
            <w:tcW w:w="1299" w:type="dxa"/>
            <w:tcBorders>
              <w:top w:val="single" w:sz="8"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试验项目来源</w:t>
            </w:r>
          </w:p>
        </w:tc>
      </w:tr>
      <w:tr w:rsidR="00090C59">
        <w:trPr>
          <w:trHeight w:val="370"/>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pStyle w:val="a7"/>
              <w:rPr>
                <w:rFonts w:hint="default"/>
              </w:rPr>
            </w:pPr>
          </w:p>
          <w:p w:rsidR="00090C59" w:rsidRDefault="00195444">
            <w:pPr>
              <w:pStyle w:val="a7"/>
              <w:rPr>
                <w:rFonts w:hint="default"/>
              </w:rPr>
            </w:pPr>
            <w:r>
              <w:t>型式试验</w:t>
            </w: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尺寸检查</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符合标准要求</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val="restart"/>
            <w:tcBorders>
              <w:top w:val="single" w:sz="4" w:space="0" w:color="auto"/>
              <w:left w:val="single" w:sz="4" w:space="0" w:color="auto"/>
              <w:right w:val="single" w:sz="8" w:space="0" w:color="auto"/>
            </w:tcBorders>
            <w:shd w:val="clear" w:color="auto" w:fill="auto"/>
            <w:vAlign w:val="center"/>
          </w:tcPr>
          <w:p w:rsidR="00090C59" w:rsidRDefault="00195444">
            <w:pPr>
              <w:pStyle w:val="a7"/>
              <w:rPr>
                <w:rFonts w:hint="default"/>
              </w:rPr>
            </w:pPr>
            <w:r>
              <w:t>GB/T 1001.1</w:t>
            </w:r>
            <w:r>
              <w:t>《标称电压高于</w:t>
            </w:r>
            <w:r>
              <w:t>1000V</w:t>
            </w:r>
            <w:r>
              <w:t>的架空线路绝缘子</w:t>
            </w:r>
            <w:r>
              <w:t xml:space="preserve"> </w:t>
            </w:r>
            <w:r>
              <w:t>第</w:t>
            </w:r>
            <w:r>
              <w:t>1</w:t>
            </w:r>
            <w:r>
              <w:t>部分：交流系统用瓷或玻璃绝缘子元件</w:t>
            </w:r>
            <w:r>
              <w:t xml:space="preserve"> </w:t>
            </w:r>
            <w:r>
              <w:t>定义、试验方法和判定准则（</w:t>
            </w:r>
            <w:r>
              <w:t>IEC 60383-1:1993</w:t>
            </w:r>
            <w:r>
              <w:t>，</w:t>
            </w:r>
            <w:r>
              <w:t>MOD</w:t>
            </w:r>
            <w:r>
              <w:t>）》</w:t>
            </w: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雷电冲击干耐受试验</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规定电压，无闪络</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rPr>
                <w:rFonts w:ascii="Times New Roman" w:hAnsi="Times New Roman" w:cs="Times New Roman"/>
                <w:sz w:val="20"/>
                <w:szCs w:val="20"/>
              </w:rPr>
            </w:pP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工频湿耐受电压试验</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规定电压，未闪络</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残余机械强度试验</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分离破坏的数目不少于</w:t>
            </w:r>
            <w:r>
              <w:t>10</w:t>
            </w:r>
            <w:r>
              <w:t>：当</w:t>
            </w:r>
            <w:r>
              <w:t>SFL</w:t>
            </w:r>
            <w:r>
              <w:t>≥</w:t>
            </w:r>
            <w:r>
              <w:t>160kN</w:t>
            </w:r>
            <w:r>
              <w:t>，若</w:t>
            </w:r>
            <w:r>
              <w:rPr>
                <w:rFonts w:cs="Symbol" w:hint="default"/>
              </w:rPr>
              <w:sym w:font="Symbol" w:char="0060"/>
            </w:r>
            <w:r>
              <w:t>Xs</w:t>
            </w:r>
            <w:r>
              <w:t>≥</w:t>
            </w:r>
            <w:r>
              <w:t>0.75SFL+1.645</w:t>
            </w:r>
            <w:r>
              <w:rPr>
                <w:rFonts w:ascii="Times New Roman" w:cs="Times New Roman" w:hint="default"/>
              </w:rPr>
              <w:t>σ</w:t>
            </w:r>
            <w:r>
              <w:rPr>
                <w:rFonts w:ascii="Times New Roman" w:cs="Times New Roman"/>
              </w:rPr>
              <w:t>，并且每个</w:t>
            </w:r>
            <w:r>
              <w:rPr>
                <w:rFonts w:ascii="Times New Roman" w:cs="Times New Roman" w:hint="default"/>
              </w:rPr>
              <w:t>X</w:t>
            </w:r>
            <w:r>
              <w:rPr>
                <w:rFonts w:ascii="Times New Roman" w:cs="Times New Roman" w:hint="default"/>
                <w:vertAlign w:val="subscript"/>
              </w:rPr>
              <w:t>b</w:t>
            </w:r>
            <w:r>
              <w:t>≥</w:t>
            </w:r>
            <w:r>
              <w:t>SFL</w:t>
            </w:r>
            <w:r>
              <w:t>，则试验通过；当</w:t>
            </w:r>
            <w:r>
              <w:t>SFL</w:t>
            </w:r>
            <w:r>
              <w:t>＜</w:t>
            </w:r>
            <w:r>
              <w:t>160kN</w:t>
            </w:r>
            <w:r>
              <w:t>，若</w:t>
            </w:r>
            <w:r>
              <w:rPr>
                <w:rFonts w:cs="Symbol" w:hint="default"/>
              </w:rPr>
              <w:sym w:font="Symbol" w:char="0060"/>
            </w:r>
            <w:r>
              <w:t>Xs</w:t>
            </w:r>
            <w:r>
              <w:t>≥</w:t>
            </w:r>
            <w:r>
              <w:t>0.65SFL+1.645</w:t>
            </w:r>
            <w:r>
              <w:rPr>
                <w:rFonts w:ascii="Times New Roman" w:cs="Times New Roman" w:hint="default"/>
              </w:rPr>
              <w:t>σ</w:t>
            </w:r>
            <w:r>
              <w:rPr>
                <w:rFonts w:ascii="Times New Roman" w:cs="Times New Roman"/>
              </w:rPr>
              <w:t>，并且每个</w:t>
            </w:r>
            <w:r>
              <w:rPr>
                <w:rFonts w:ascii="Times New Roman" w:cs="Times New Roman" w:hint="default"/>
              </w:rPr>
              <w:t>X</w:t>
            </w:r>
            <w:r>
              <w:rPr>
                <w:rFonts w:ascii="Times New Roman" w:cs="Times New Roman" w:hint="default"/>
                <w:vertAlign w:val="subscript"/>
              </w:rPr>
              <w:t>b</w:t>
            </w:r>
            <w:r>
              <w:t>≥</w:t>
            </w:r>
            <w:r>
              <w:t>SFL</w:t>
            </w:r>
            <w:r>
              <w:t>，则试验通过</w:t>
            </w:r>
          </w:p>
          <w:p w:rsidR="00090C59" w:rsidRDefault="00195444">
            <w:pPr>
              <w:pStyle w:val="a7"/>
              <w:rPr>
                <w:rFonts w:hint="default"/>
              </w:rPr>
            </w:pPr>
            <w:r>
              <w:t>分离破坏的数目少于</w:t>
            </w:r>
            <w:r>
              <w:t>10</w:t>
            </w:r>
            <w:r>
              <w:t>：当</w:t>
            </w:r>
            <w:r>
              <w:t>SFL</w:t>
            </w:r>
            <w:r>
              <w:t>≥</w:t>
            </w:r>
            <w:r>
              <w:t>160kN</w:t>
            </w:r>
            <w:r>
              <w:t>，若</w:t>
            </w:r>
            <w:r>
              <w:t>Xs</w:t>
            </w:r>
            <w:r>
              <w:t>≥</w:t>
            </w:r>
            <w:r>
              <w:t>0.80SFL</w:t>
            </w:r>
            <w:r>
              <w:rPr>
                <w:rFonts w:ascii="Times New Roman" w:cs="Times New Roman"/>
              </w:rPr>
              <w:t>，并且每个</w:t>
            </w:r>
            <w:r>
              <w:rPr>
                <w:rFonts w:ascii="Times New Roman" w:cs="Times New Roman" w:hint="default"/>
              </w:rPr>
              <w:t>X</w:t>
            </w:r>
            <w:r>
              <w:rPr>
                <w:rFonts w:ascii="Times New Roman" w:cs="Times New Roman" w:hint="default"/>
                <w:vertAlign w:val="subscript"/>
              </w:rPr>
              <w:t>b</w:t>
            </w:r>
            <w:r>
              <w:t>≥</w:t>
            </w:r>
            <w:r>
              <w:t>SFL</w:t>
            </w:r>
            <w:r>
              <w:t>，则试验通过；当</w:t>
            </w:r>
            <w:r>
              <w:t>SFL</w:t>
            </w:r>
            <w:r>
              <w:t>＜</w:t>
            </w:r>
            <w:r>
              <w:t>160kN</w:t>
            </w:r>
            <w:r>
              <w:t>，若</w:t>
            </w:r>
            <w:r>
              <w:t>Xs</w:t>
            </w:r>
            <w:r>
              <w:t>≥</w:t>
            </w:r>
            <w:r>
              <w:t>0.65SFL</w:t>
            </w:r>
            <w:r>
              <w:rPr>
                <w:rFonts w:ascii="Times New Roman" w:cs="Times New Roman"/>
              </w:rPr>
              <w:t>，并且每个</w:t>
            </w:r>
            <w:r>
              <w:rPr>
                <w:rFonts w:ascii="Times New Roman" w:cs="Times New Roman" w:hint="default"/>
              </w:rPr>
              <w:t>X</w:t>
            </w:r>
            <w:r>
              <w:rPr>
                <w:rFonts w:ascii="Times New Roman" w:cs="Times New Roman" w:hint="default"/>
                <w:vertAlign w:val="subscript"/>
              </w:rPr>
              <w:t>b</w:t>
            </w:r>
            <w:r>
              <w:t>≥</w:t>
            </w:r>
            <w:r>
              <w:t>SFL</w:t>
            </w:r>
            <w:r>
              <w:t>，则试验通过</w:t>
            </w:r>
          </w:p>
          <w:p w:rsidR="00090C59" w:rsidRDefault="00195444">
            <w:pPr>
              <w:pStyle w:val="a"/>
              <w:widowControl/>
              <w:rPr>
                <w:rFonts w:hint="default"/>
              </w:rPr>
            </w:pPr>
            <w:r>
              <w:t>Xs</w:t>
            </w:r>
            <w:r>
              <w:t>为分离负荷，</w:t>
            </w:r>
            <w:r>
              <w:rPr>
                <w:rFonts w:cs="Symbol" w:hint="default"/>
              </w:rPr>
              <w:sym w:font="Symbol" w:char="0060"/>
            </w:r>
            <w:r>
              <w:t>Xs</w:t>
            </w:r>
            <w:r>
              <w:t>为分离负荷平均值，</w:t>
            </w:r>
            <w:r>
              <w:rPr>
                <w:rFonts w:ascii="Times New Roman" w:hint="default"/>
              </w:rPr>
              <w:t>σ</w:t>
            </w:r>
            <w:r>
              <w:rPr>
                <w:rFonts w:ascii="Times New Roman"/>
              </w:rPr>
              <w:t>为分离负荷的标准偏差，</w:t>
            </w:r>
            <w:r>
              <w:rPr>
                <w:rFonts w:ascii="Times New Roman" w:hint="default"/>
              </w:rPr>
              <w:t>X</w:t>
            </w:r>
            <w:r>
              <w:rPr>
                <w:rFonts w:ascii="Times New Roman" w:hint="default"/>
                <w:vertAlign w:val="subscript"/>
              </w:rPr>
              <w:t>b</w:t>
            </w:r>
            <w:r>
              <w:rPr>
                <w:rFonts w:ascii="Times New Roman"/>
              </w:rPr>
              <w:t>为端部装配件破坏负荷，</w:t>
            </w:r>
            <w:r>
              <w:rPr>
                <w:rFonts w:ascii="Times New Roman" w:hint="default"/>
              </w:rPr>
              <w:t>SFL</w:t>
            </w:r>
            <w:r>
              <w:rPr>
                <w:rFonts w:ascii="Times New Roman"/>
              </w:rPr>
              <w:t>为绝缘子的规定破坏负荷</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
              <w:widowControl/>
              <w:numPr>
                <w:ilvl w:val="0"/>
                <w:numId w:val="0"/>
              </w:numPr>
              <w:ind w:left="363"/>
              <w:jc w:val="center"/>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机电破坏负荷试验</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rPr>
                <w:rFonts w:cs="Symbol" w:hint="default"/>
              </w:rPr>
              <w:sym w:font="Symbol" w:char="0020"/>
            </w:r>
            <w:r>
              <w:rPr>
                <w:rFonts w:cs="Symbol" w:hint="default"/>
              </w:rPr>
              <w:sym w:font="Symbol" w:char="0060"/>
            </w:r>
            <w:r>
              <w:t>X</w:t>
            </w:r>
            <w:r>
              <w:t>≥</w:t>
            </w:r>
            <w:r>
              <w:t>SFL+C</w:t>
            </w:r>
            <w:r>
              <w:rPr>
                <w:rFonts w:ascii="Times New Roman" w:cs="Times New Roman" w:hint="default"/>
              </w:rPr>
              <w:t>σ</w:t>
            </w:r>
            <w:r>
              <w:t>，则通过试验</w:t>
            </w:r>
          </w:p>
          <w:p w:rsidR="00090C59" w:rsidRDefault="00195444">
            <w:pPr>
              <w:pStyle w:val="a7"/>
              <w:rPr>
                <w:rFonts w:hint="default"/>
              </w:rPr>
            </w:pPr>
            <w:r>
              <w:rPr>
                <w:rFonts w:cs="Symbol" w:hint="default"/>
              </w:rPr>
              <w:sym w:font="Symbol" w:char="0060"/>
            </w:r>
            <w:r>
              <w:t>X</w:t>
            </w:r>
            <w:r>
              <w:t>为破坏负荷平均值，</w:t>
            </w:r>
            <w:r>
              <w:t>C</w:t>
            </w:r>
            <w:r>
              <w:t>为判定常数，</w:t>
            </w:r>
            <w:r>
              <w:rPr>
                <w:rFonts w:ascii="Times New Roman" w:cs="Times New Roman" w:hint="default"/>
              </w:rPr>
              <w:t>σ</w:t>
            </w:r>
            <w:r>
              <w:rPr>
                <w:rFonts w:ascii="Times New Roman"/>
              </w:rPr>
              <w:t>为实验结果标准偏差，</w:t>
            </w:r>
            <w:r>
              <w:rPr>
                <w:rFonts w:ascii="Times New Roman" w:hint="default"/>
              </w:rPr>
              <w:t>SFL</w:t>
            </w:r>
            <w:r>
              <w:rPr>
                <w:rFonts w:ascii="Times New Roman"/>
              </w:rPr>
              <w:t>为绝缘子规定破坏负荷</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
              <w:widowControl/>
              <w:numPr>
                <w:ilvl w:val="0"/>
                <w:numId w:val="0"/>
              </w:numPr>
              <w:ind w:left="363"/>
              <w:rPr>
                <w:rFonts w:cs="Symbol" w:hint="default"/>
              </w:rPr>
            </w:pPr>
            <w:r>
              <w:rPr>
                <w:rFonts w:cs="Symbol"/>
              </w:rPr>
              <w:t>规定值：</w:t>
            </w:r>
            <w:r>
              <w:rPr>
                <w:rFonts w:cs="Symbol"/>
              </w:rPr>
              <w:t>70KN</w:t>
            </w:r>
          </w:p>
          <w:p w:rsidR="00090C59" w:rsidRDefault="00195444">
            <w:pPr>
              <w:pStyle w:val="a7"/>
              <w:rPr>
                <w:rFonts w:cs="Symbol" w:hint="default"/>
              </w:rPr>
            </w:pPr>
            <w:r>
              <w:rPr>
                <w:rFonts w:cs="Symbol"/>
                <w:color w:val="FF0000"/>
              </w:rPr>
              <w:t>检测值：</w:t>
            </w:r>
            <w:r>
              <w:rPr>
                <w:rFonts w:cs="Symbol"/>
                <w:color w:val="FF0000"/>
              </w:rPr>
              <w:t>87/90/84/82/88/88/86</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热机械性能试验</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rPr>
                <w:rFonts w:cs="Symbol" w:hint="default"/>
              </w:rPr>
              <w:sym w:font="Symbol" w:char="0060"/>
            </w:r>
            <w:r>
              <w:t>X</w:t>
            </w:r>
            <w:r>
              <w:t>≥</w:t>
            </w:r>
            <w:r>
              <w:t>SFL+C</w:t>
            </w:r>
            <w:r>
              <w:rPr>
                <w:rFonts w:ascii="Times New Roman" w:cs="Times New Roman" w:hint="default"/>
              </w:rPr>
              <w:t>σ</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无线电干扰试验</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RIV</w:t>
            </w:r>
            <w:r>
              <w:t>≤</w:t>
            </w:r>
            <w:r>
              <w:t>50</w:t>
            </w:r>
            <w:r>
              <w:rPr>
                <w:i/>
              </w:rPr>
              <w:t>μ</w:t>
            </w:r>
            <w:r>
              <w:t>V</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可见电晕电压试验</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电晕熄灭电压：</w:t>
            </w:r>
          </w:p>
          <w:p w:rsidR="00090C59" w:rsidRDefault="00195444">
            <w:pPr>
              <w:pStyle w:val="a7"/>
              <w:rPr>
                <w:rFonts w:hint="default"/>
              </w:rPr>
            </w:pPr>
            <w:r>
              <w:t>铁帽：≥</w:t>
            </w:r>
            <w:r>
              <w:t>22kv</w:t>
            </w:r>
          </w:p>
          <w:p w:rsidR="00090C59" w:rsidRDefault="00195444">
            <w:pPr>
              <w:pStyle w:val="a7"/>
              <w:rPr>
                <w:rFonts w:hint="default"/>
              </w:rPr>
            </w:pPr>
            <w:r>
              <w:t>钢脚：≥</w:t>
            </w:r>
            <w:r>
              <w:t>18kv</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31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击穿耐受试验</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空气中冲击击穿试验（</w:t>
            </w:r>
            <w:r>
              <w:t>SFL</w:t>
            </w:r>
            <w:r>
              <w:t>≥</w:t>
            </w:r>
            <w:r>
              <w:t>160kN</w:t>
            </w:r>
            <w:r>
              <w:t>）</w:t>
            </w:r>
          </w:p>
        </w:tc>
        <w:tc>
          <w:tcPr>
            <w:tcW w:w="43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规定电压，无击穿</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31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10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工频击穿耐受试验（</w:t>
            </w:r>
            <w:r>
              <w:t>SFL</w:t>
            </w:r>
            <w:r>
              <w:t>＜</w:t>
            </w:r>
            <w:r>
              <w:t>160kN</w:t>
            </w:r>
            <w:r>
              <w:t>）</w:t>
            </w:r>
          </w:p>
        </w:tc>
        <w:tc>
          <w:tcPr>
            <w:tcW w:w="4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jc w:val="center"/>
              <w:rPr>
                <w:rFonts w:ascii="Times New Roman" w:hAnsi="Times New Roman" w:cs="Times New Roman"/>
                <w:sz w:val="20"/>
                <w:szCs w:val="20"/>
              </w:rPr>
            </w:pPr>
            <w:r>
              <w:rPr>
                <w:rFonts w:hint="eastAsia"/>
              </w:rPr>
              <w:t>符合</w:t>
            </w:r>
          </w:p>
        </w:tc>
        <w:tc>
          <w:tcPr>
            <w:tcW w:w="1299" w:type="dxa"/>
            <w:vMerge/>
            <w:tcBorders>
              <w:left w:val="single" w:sz="4" w:space="0" w:color="auto"/>
              <w:right w:val="single" w:sz="8" w:space="0" w:color="auto"/>
            </w:tcBorders>
            <w:shd w:val="clear" w:color="auto" w:fill="auto"/>
            <w:vAlign w:val="center"/>
          </w:tcPr>
          <w:p w:rsidR="00090C59" w:rsidRDefault="00090C59">
            <w:pPr>
              <w:rPr>
                <w:rFonts w:ascii="Times New Roman" w:hAnsi="Times New Roman" w:cs="Times New Roman"/>
                <w:sz w:val="20"/>
                <w:szCs w:val="20"/>
              </w:rPr>
            </w:pPr>
          </w:p>
        </w:tc>
      </w:tr>
      <w:tr w:rsidR="00090C59">
        <w:trPr>
          <w:trHeight w:val="635"/>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抽样试验</w:t>
            </w: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尺寸检查</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符合标准要求</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偏差检查</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轴向偏移</w:t>
            </w:r>
            <w:r>
              <w:t>A</w:t>
            </w:r>
            <w:r>
              <w:t>装置的最大变化量为绝缘子标称直径的</w:t>
            </w:r>
            <w:r>
              <w:t>4%</w:t>
            </w:r>
            <w:r>
              <w:t>，径向偏移</w:t>
            </w:r>
            <w:r>
              <w:t>B</w:t>
            </w:r>
            <w:r>
              <w:t>装置的最大变化量为绝缘子标称直径的</w:t>
            </w:r>
            <w:r>
              <w:t>3%</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锁紧销检查</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符合标准要求</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温度循环试验</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规定试验条件，无损坏</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镀层试验</w:t>
            </w:r>
            <w:r>
              <w:t>（μ</w:t>
            </w:r>
            <w:r>
              <w:t>m</w:t>
            </w:r>
            <w:r>
              <w:t>）</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单个平均值：</w:t>
            </w:r>
            <w:r>
              <w:t>≥</w:t>
            </w:r>
            <w:r>
              <w:t>70</w:t>
            </w:r>
          </w:p>
          <w:p w:rsidR="00090C59" w:rsidRDefault="00195444">
            <w:pPr>
              <w:pStyle w:val="a7"/>
              <w:rPr>
                <w:rFonts w:hint="default"/>
              </w:rPr>
            </w:pPr>
            <w:r>
              <w:t>全部平均值：</w:t>
            </w:r>
            <w:r>
              <w:t>≥</w:t>
            </w:r>
            <w:r>
              <w:t>85</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无线电干扰试验</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RIV</w:t>
            </w:r>
            <w:r>
              <w:t>≤</w:t>
            </w:r>
            <w:r>
              <w:t>50</w:t>
            </w:r>
            <w:r>
              <w:rPr>
                <w:i/>
              </w:rPr>
              <w:t>μ</w:t>
            </w:r>
            <w:r>
              <w:t>V</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机电破坏负荷试验</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rPr>
                <w:rFonts w:cs="Symbol" w:hint="default"/>
              </w:rPr>
              <w:sym w:font="Symbol" w:char="0020"/>
            </w:r>
            <w:r>
              <w:rPr>
                <w:rFonts w:cs="Symbol" w:hint="default"/>
              </w:rPr>
              <w:sym w:font="Symbol" w:char="0060"/>
            </w:r>
            <w:r>
              <w:t>X</w:t>
            </w:r>
            <w:r>
              <w:t>≥</w:t>
            </w:r>
            <w:r>
              <w:t>SFL+C</w:t>
            </w:r>
            <w:r>
              <w:rPr>
                <w:rFonts w:ascii="Times New Roman" w:cs="Times New Roman" w:hint="default"/>
              </w:rPr>
              <w:t>σ</w:t>
            </w:r>
            <w:r>
              <w:t>，则通过试验</w:t>
            </w:r>
          </w:p>
          <w:p w:rsidR="00090C59" w:rsidRDefault="00195444">
            <w:pPr>
              <w:pStyle w:val="a"/>
              <w:widowControl/>
              <w:rPr>
                <w:rFonts w:hint="default"/>
              </w:rPr>
            </w:pPr>
            <w:r>
              <w:rPr>
                <w:rFonts w:cs="Symbol" w:hint="default"/>
              </w:rPr>
              <w:sym w:font="Symbol" w:char="0060"/>
            </w:r>
            <w:r>
              <w:t>X</w:t>
            </w:r>
            <w:r>
              <w:t>为破坏负荷平均值，</w:t>
            </w:r>
            <w:r>
              <w:t>C</w:t>
            </w:r>
            <w:r>
              <w:t>为判定常数，</w:t>
            </w:r>
            <w:r>
              <w:rPr>
                <w:rFonts w:ascii="Times New Roman" w:hint="default"/>
              </w:rPr>
              <w:t>σ</w:t>
            </w:r>
            <w:r>
              <w:rPr>
                <w:rFonts w:ascii="Times New Roman"/>
              </w:rPr>
              <w:t>为实验结果标准偏差，</w:t>
            </w:r>
            <w:r>
              <w:rPr>
                <w:rFonts w:ascii="Times New Roman" w:hint="default"/>
              </w:rPr>
              <w:t>SFL</w:t>
            </w:r>
            <w:r>
              <w:rPr>
                <w:rFonts w:ascii="Times New Roman"/>
              </w:rPr>
              <w:t>为绝缘子规定破坏负荷</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
              <w:widowControl/>
              <w:numPr>
                <w:ilvl w:val="0"/>
                <w:numId w:val="0"/>
              </w:numPr>
              <w:ind w:left="363"/>
              <w:rPr>
                <w:rFonts w:cs="Symbol" w:hint="default"/>
              </w:rPr>
            </w:pPr>
            <w:r>
              <w:rPr>
                <w:rFonts w:cs="Symbol"/>
              </w:rPr>
              <w:t>规定值：</w:t>
            </w:r>
            <w:r>
              <w:rPr>
                <w:rFonts w:cs="Symbol"/>
              </w:rPr>
              <w:t>70KN</w:t>
            </w:r>
          </w:p>
          <w:p w:rsidR="00090C59" w:rsidRDefault="00195444">
            <w:pPr>
              <w:pStyle w:val="a"/>
              <w:widowControl/>
              <w:numPr>
                <w:ilvl w:val="0"/>
                <w:numId w:val="0"/>
              </w:numPr>
              <w:ind w:left="363"/>
              <w:rPr>
                <w:rFonts w:cs="Symbol" w:hint="default"/>
              </w:rPr>
            </w:pPr>
            <w:r>
              <w:rPr>
                <w:rFonts w:cs="Symbol"/>
                <w:color w:val="FF0000"/>
              </w:rPr>
              <w:t>检测值：</w:t>
            </w:r>
            <w:r>
              <w:rPr>
                <w:rFonts w:cs="Symbol"/>
                <w:color w:val="FF0000"/>
              </w:rPr>
              <w:t>87/90/84/82/88/88/86</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31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击穿耐受试验</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空气中冲击击穿试验（</w:t>
            </w:r>
            <w:r>
              <w:t>SFL</w:t>
            </w:r>
            <w:r>
              <w:t>≥</w:t>
            </w:r>
            <w:r>
              <w:t>160kN</w:t>
            </w:r>
            <w:r>
              <w:t>）</w:t>
            </w:r>
          </w:p>
        </w:tc>
        <w:tc>
          <w:tcPr>
            <w:tcW w:w="43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规定电压，无击穿</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31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10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工频击穿耐受试验（</w:t>
            </w:r>
            <w:r>
              <w:t>SFL</w:t>
            </w:r>
            <w:r>
              <w:t>＜</w:t>
            </w:r>
            <w:r>
              <w:t>160kN</w:t>
            </w:r>
            <w:r>
              <w:t>）</w:t>
            </w:r>
          </w:p>
        </w:tc>
        <w:tc>
          <w:tcPr>
            <w:tcW w:w="4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jc w:val="center"/>
              <w:rPr>
                <w:rFonts w:ascii="Times New Roman" w:hAnsi="Times New Roman" w:cs="Times New Roman"/>
                <w:sz w:val="20"/>
                <w:szCs w:val="20"/>
              </w:rPr>
            </w:pPr>
            <w:r>
              <w:rPr>
                <w:rFonts w:hint="eastAsia"/>
              </w:rPr>
              <w:t>符合</w:t>
            </w:r>
          </w:p>
        </w:tc>
        <w:tc>
          <w:tcPr>
            <w:tcW w:w="1299" w:type="dxa"/>
            <w:vMerge/>
            <w:tcBorders>
              <w:left w:val="single" w:sz="4" w:space="0" w:color="auto"/>
              <w:right w:val="single" w:sz="8" w:space="0" w:color="auto"/>
            </w:tcBorders>
            <w:shd w:val="clear" w:color="auto" w:fill="auto"/>
            <w:vAlign w:val="center"/>
          </w:tcPr>
          <w:p w:rsidR="00090C59" w:rsidRDefault="00090C59">
            <w:pPr>
              <w:rPr>
                <w:rFonts w:ascii="Times New Roman" w:hAnsi="Times New Roman" w:cs="Times New Roman"/>
                <w:sz w:val="20"/>
                <w:szCs w:val="20"/>
              </w:rPr>
            </w:pP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残余机械强度试验</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同上</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孔隙性试验</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规定试验条件下，无渗透</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635"/>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逐个试验</w:t>
            </w: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外观检查</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釉面无裂纹，无超出标准规定的外观缺陷</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机械试验</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拉伸负荷：</w:t>
            </w:r>
            <w:r>
              <w:t>50%SFL</w:t>
            </w:r>
          </w:p>
          <w:p w:rsidR="00090C59" w:rsidRDefault="00195444">
            <w:pPr>
              <w:pStyle w:val="a7"/>
              <w:rPr>
                <w:rFonts w:hint="default"/>
              </w:rPr>
            </w:pPr>
            <w:r>
              <w:t>耐受时间：≥</w:t>
            </w:r>
            <w:r>
              <w:t>3s</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right w:val="single" w:sz="8" w:space="0" w:color="auto"/>
            </w:tcBorders>
            <w:shd w:val="clear" w:color="auto" w:fill="auto"/>
            <w:vAlign w:val="center"/>
          </w:tcPr>
          <w:p w:rsidR="00090C59" w:rsidRDefault="00090C59">
            <w:pPr>
              <w:pStyle w:val="a7"/>
              <w:rPr>
                <w:rFonts w:hint="default"/>
              </w:rPr>
            </w:pPr>
          </w:p>
        </w:tc>
      </w:tr>
      <w:tr w:rsidR="00090C59">
        <w:trPr>
          <w:trHeight w:val="635"/>
          <w:jc w:val="center"/>
        </w:trPr>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090C59">
            <w:pPr>
              <w:rPr>
                <w:rFonts w:ascii="Times New Roman" w:hAnsi="Times New Roman" w:cs="Times New Roman"/>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电气试验</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090C59" w:rsidRDefault="00195444">
            <w:pPr>
              <w:pStyle w:val="a7"/>
              <w:rPr>
                <w:rFonts w:hint="default"/>
              </w:rPr>
            </w:pPr>
            <w:r>
              <w:t>规定试验条件，无击穿</w:t>
            </w:r>
          </w:p>
        </w:tc>
        <w:tc>
          <w:tcPr>
            <w:tcW w:w="2178" w:type="dxa"/>
            <w:tcBorders>
              <w:top w:val="single" w:sz="4" w:space="0" w:color="auto"/>
              <w:left w:val="single" w:sz="4" w:space="0" w:color="auto"/>
              <w:bottom w:val="single" w:sz="4" w:space="0" w:color="auto"/>
              <w:right w:val="single" w:sz="8" w:space="0" w:color="auto"/>
            </w:tcBorders>
            <w:shd w:val="clear" w:color="auto" w:fill="auto"/>
            <w:vAlign w:val="center"/>
          </w:tcPr>
          <w:p w:rsidR="00090C59" w:rsidRDefault="00195444">
            <w:pPr>
              <w:pStyle w:val="a7"/>
              <w:rPr>
                <w:rFonts w:hint="default"/>
              </w:rPr>
            </w:pPr>
            <w:r>
              <w:t>符合</w:t>
            </w:r>
          </w:p>
        </w:tc>
        <w:tc>
          <w:tcPr>
            <w:tcW w:w="1299" w:type="dxa"/>
            <w:vMerge/>
            <w:tcBorders>
              <w:left w:val="single" w:sz="4" w:space="0" w:color="auto"/>
              <w:bottom w:val="single" w:sz="4" w:space="0" w:color="auto"/>
              <w:right w:val="single" w:sz="8" w:space="0" w:color="auto"/>
            </w:tcBorders>
            <w:shd w:val="clear" w:color="auto" w:fill="auto"/>
            <w:vAlign w:val="center"/>
          </w:tcPr>
          <w:p w:rsidR="00090C59" w:rsidRDefault="00090C59">
            <w:pPr>
              <w:pStyle w:val="a7"/>
              <w:rPr>
                <w:rFonts w:hint="default"/>
              </w:rPr>
            </w:pPr>
          </w:p>
        </w:tc>
      </w:tr>
    </w:tbl>
    <w:p w:rsidR="00090C59" w:rsidRDefault="00090C59">
      <w:pPr>
        <w:ind w:firstLineChars="200" w:firstLine="643"/>
        <w:rPr>
          <w:rFonts w:ascii="仿宋" w:eastAsia="仿宋" w:hAnsi="仿宋" w:cs="仿宋"/>
          <w:b/>
          <w:bCs/>
          <w:sz w:val="32"/>
          <w:szCs w:val="40"/>
        </w:rPr>
      </w:pPr>
    </w:p>
    <w:sectPr w:rsidR="00090C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444" w:rsidRDefault="00195444" w:rsidP="006766E7">
      <w:r>
        <w:separator/>
      </w:r>
    </w:p>
  </w:endnote>
  <w:endnote w:type="continuationSeparator" w:id="0">
    <w:p w:rsidR="00195444" w:rsidRDefault="00195444" w:rsidP="0067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444" w:rsidRDefault="00195444" w:rsidP="006766E7">
      <w:r>
        <w:separator/>
      </w:r>
    </w:p>
  </w:footnote>
  <w:footnote w:type="continuationSeparator" w:id="0">
    <w:p w:rsidR="00195444" w:rsidRDefault="00195444" w:rsidP="006766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D88024"/>
    <w:multiLevelType w:val="multilevel"/>
    <w:tmpl w:val="C5D88024"/>
    <w:lvl w:ilvl="0">
      <w:start w:val="1"/>
      <w:numFmt w:val="none"/>
      <w:pStyle w:val="a"/>
      <w:lvlText w:val="%1注："/>
      <w:lvlJc w:val="left"/>
      <w:pPr>
        <w:ind w:left="737" w:hanging="374"/>
      </w:pPr>
      <w:rPr>
        <w:rFonts w:ascii="黑体" w:eastAsia="黑体" w:hAnsi="Times New Roman" w:cs="黑体" w:hint="eastAsia"/>
        <w:b w:val="0"/>
        <w:i w:val="0"/>
        <w:sz w:val="18"/>
      </w:rPr>
    </w:lvl>
    <w:lvl w:ilvl="1">
      <w:start w:val="1"/>
      <w:numFmt w:val="lowerLetter"/>
      <w:lvlText w:val="%2)"/>
      <w:lvlJc w:val="left"/>
      <w:pPr>
        <w:tabs>
          <w:tab w:val="left" w:pos="1140"/>
        </w:tabs>
        <w:ind w:left="726" w:hanging="363"/>
      </w:pPr>
    </w:lvl>
    <w:lvl w:ilvl="2">
      <w:start w:val="1"/>
      <w:numFmt w:val="lowerRoman"/>
      <w:lvlText w:val="%3."/>
      <w:lvlJc w:val="right"/>
      <w:pPr>
        <w:tabs>
          <w:tab w:val="left" w:pos="1140"/>
        </w:tabs>
        <w:ind w:left="726" w:hanging="363"/>
      </w:pPr>
    </w:lvl>
    <w:lvl w:ilvl="3">
      <w:start w:val="1"/>
      <w:numFmt w:val="decimal"/>
      <w:lvlText w:val="%4."/>
      <w:lvlJc w:val="left"/>
      <w:pPr>
        <w:tabs>
          <w:tab w:val="left" w:pos="1140"/>
        </w:tabs>
        <w:ind w:left="726" w:hanging="363"/>
      </w:pPr>
    </w:lvl>
    <w:lvl w:ilvl="4">
      <w:start w:val="1"/>
      <w:numFmt w:val="lowerLetter"/>
      <w:lvlText w:val="%5)"/>
      <w:lvlJc w:val="left"/>
      <w:pPr>
        <w:tabs>
          <w:tab w:val="left" w:pos="1140"/>
        </w:tabs>
        <w:ind w:left="726" w:hanging="363"/>
      </w:pPr>
    </w:lvl>
    <w:lvl w:ilvl="5">
      <w:start w:val="1"/>
      <w:numFmt w:val="lowerRoman"/>
      <w:lvlText w:val="%6."/>
      <w:lvlJc w:val="right"/>
      <w:pPr>
        <w:tabs>
          <w:tab w:val="left" w:pos="1140"/>
        </w:tabs>
        <w:ind w:left="726" w:hanging="363"/>
      </w:pPr>
    </w:lvl>
    <w:lvl w:ilvl="6">
      <w:start w:val="1"/>
      <w:numFmt w:val="decimal"/>
      <w:lvlText w:val="%7."/>
      <w:lvlJc w:val="left"/>
      <w:pPr>
        <w:tabs>
          <w:tab w:val="left" w:pos="1140"/>
        </w:tabs>
        <w:ind w:left="726" w:hanging="363"/>
      </w:pPr>
    </w:lvl>
    <w:lvl w:ilvl="7">
      <w:start w:val="1"/>
      <w:numFmt w:val="lowerLetter"/>
      <w:lvlText w:val="%8)"/>
      <w:lvlJc w:val="left"/>
      <w:pPr>
        <w:tabs>
          <w:tab w:val="left" w:pos="1140"/>
        </w:tabs>
        <w:ind w:left="726" w:hanging="363"/>
      </w:pPr>
    </w:lvl>
    <w:lvl w:ilvl="8">
      <w:start w:val="1"/>
      <w:numFmt w:val="lowerRoman"/>
      <w:lvlText w:val="%9."/>
      <w:lvlJc w:val="right"/>
      <w:pPr>
        <w:tabs>
          <w:tab w:val="left" w:pos="1140"/>
        </w:tabs>
        <w:ind w:left="726" w:hanging="363"/>
      </w:pPr>
    </w:lvl>
  </w:abstractNum>
  <w:abstractNum w:abstractNumId="1" w15:restartNumberingAfterBreak="0">
    <w:nsid w:val="28F6A525"/>
    <w:multiLevelType w:val="singleLevel"/>
    <w:tmpl w:val="28F6A525"/>
    <w:lvl w:ilvl="0">
      <w:start w:val="1"/>
      <w:numFmt w:val="chineseCounting"/>
      <w:suff w:val="nothing"/>
      <w:lvlText w:val="%1、"/>
      <w:lvlJc w:val="left"/>
      <w:rPr>
        <w:rFonts w:hint="eastAsia"/>
      </w:rPr>
    </w:lvl>
  </w:abstractNum>
  <w:abstractNum w:abstractNumId="2" w15:restartNumberingAfterBreak="0">
    <w:nsid w:val="62E3BBD8"/>
    <w:multiLevelType w:val="singleLevel"/>
    <w:tmpl w:val="62E3BBD8"/>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zYmEzNWZiN2UzNmM3OWE1YTM4ZDVlNzliZmJhZTIifQ=="/>
  </w:docVars>
  <w:rsids>
    <w:rsidRoot w:val="72D17C16"/>
    <w:rsid w:val="00090C59"/>
    <w:rsid w:val="00195444"/>
    <w:rsid w:val="006766E7"/>
    <w:rsid w:val="01295426"/>
    <w:rsid w:val="0185183C"/>
    <w:rsid w:val="023F7D78"/>
    <w:rsid w:val="037D28A2"/>
    <w:rsid w:val="0402733C"/>
    <w:rsid w:val="04FC6CDE"/>
    <w:rsid w:val="054619CB"/>
    <w:rsid w:val="05A67D41"/>
    <w:rsid w:val="069F5521"/>
    <w:rsid w:val="06C667F7"/>
    <w:rsid w:val="06D72484"/>
    <w:rsid w:val="091C404B"/>
    <w:rsid w:val="093142C5"/>
    <w:rsid w:val="0A0C0C28"/>
    <w:rsid w:val="0A7948CF"/>
    <w:rsid w:val="0A9B534A"/>
    <w:rsid w:val="0B6E2A52"/>
    <w:rsid w:val="0C7F4812"/>
    <w:rsid w:val="0CC429F8"/>
    <w:rsid w:val="0D3E2CC8"/>
    <w:rsid w:val="0E6F6175"/>
    <w:rsid w:val="0F60256C"/>
    <w:rsid w:val="106346DC"/>
    <w:rsid w:val="12AC3958"/>
    <w:rsid w:val="13E211B4"/>
    <w:rsid w:val="15381DF5"/>
    <w:rsid w:val="15E22B9A"/>
    <w:rsid w:val="164E0A05"/>
    <w:rsid w:val="167E1C5E"/>
    <w:rsid w:val="17464255"/>
    <w:rsid w:val="18A40C3E"/>
    <w:rsid w:val="19180CC4"/>
    <w:rsid w:val="19823668"/>
    <w:rsid w:val="199E715E"/>
    <w:rsid w:val="19BE4772"/>
    <w:rsid w:val="1B0864F2"/>
    <w:rsid w:val="1B614ED7"/>
    <w:rsid w:val="1B9C22DF"/>
    <w:rsid w:val="1B9D4AF4"/>
    <w:rsid w:val="1E667A5D"/>
    <w:rsid w:val="209400B9"/>
    <w:rsid w:val="20CD6F3A"/>
    <w:rsid w:val="233A3AEB"/>
    <w:rsid w:val="23983773"/>
    <w:rsid w:val="23A43B72"/>
    <w:rsid w:val="25D21D21"/>
    <w:rsid w:val="28293344"/>
    <w:rsid w:val="29497CAB"/>
    <w:rsid w:val="2963716A"/>
    <w:rsid w:val="2B1B2528"/>
    <w:rsid w:val="2B6C5822"/>
    <w:rsid w:val="2D36779A"/>
    <w:rsid w:val="2D8C3E52"/>
    <w:rsid w:val="2DA837E5"/>
    <w:rsid w:val="2E152C45"/>
    <w:rsid w:val="2E562E43"/>
    <w:rsid w:val="2E8C1B36"/>
    <w:rsid w:val="2EE55603"/>
    <w:rsid w:val="2F503401"/>
    <w:rsid w:val="2F6E24A7"/>
    <w:rsid w:val="33C558E6"/>
    <w:rsid w:val="34D34AF8"/>
    <w:rsid w:val="34F81C5B"/>
    <w:rsid w:val="356065C1"/>
    <w:rsid w:val="35CA77BD"/>
    <w:rsid w:val="372D055C"/>
    <w:rsid w:val="38307D9F"/>
    <w:rsid w:val="38BA6192"/>
    <w:rsid w:val="3954793A"/>
    <w:rsid w:val="395704CB"/>
    <w:rsid w:val="3AEA6CE3"/>
    <w:rsid w:val="3BCF46F7"/>
    <w:rsid w:val="3BF8490D"/>
    <w:rsid w:val="3CAB143F"/>
    <w:rsid w:val="3D191896"/>
    <w:rsid w:val="3D367F87"/>
    <w:rsid w:val="3ECD4F08"/>
    <w:rsid w:val="3FB870EC"/>
    <w:rsid w:val="400D3523"/>
    <w:rsid w:val="401D6391"/>
    <w:rsid w:val="42502735"/>
    <w:rsid w:val="43F718D7"/>
    <w:rsid w:val="4470141D"/>
    <w:rsid w:val="455D64DA"/>
    <w:rsid w:val="456B41DA"/>
    <w:rsid w:val="46776031"/>
    <w:rsid w:val="46FA4136"/>
    <w:rsid w:val="471A6F38"/>
    <w:rsid w:val="476D1E93"/>
    <w:rsid w:val="4770518B"/>
    <w:rsid w:val="49FE4113"/>
    <w:rsid w:val="4A8643C2"/>
    <w:rsid w:val="4C8451AE"/>
    <w:rsid w:val="4D157B9C"/>
    <w:rsid w:val="4D3450B3"/>
    <w:rsid w:val="4D4D696D"/>
    <w:rsid w:val="4D6165BE"/>
    <w:rsid w:val="50C5567F"/>
    <w:rsid w:val="51732F86"/>
    <w:rsid w:val="51BB0805"/>
    <w:rsid w:val="52C833AE"/>
    <w:rsid w:val="52FD4493"/>
    <w:rsid w:val="531A1A51"/>
    <w:rsid w:val="53222C5D"/>
    <w:rsid w:val="54E41BD1"/>
    <w:rsid w:val="562557D7"/>
    <w:rsid w:val="567D2D1E"/>
    <w:rsid w:val="56A26A6F"/>
    <w:rsid w:val="56FE00DC"/>
    <w:rsid w:val="582A092A"/>
    <w:rsid w:val="58571B6D"/>
    <w:rsid w:val="5A117FBD"/>
    <w:rsid w:val="5A1F3535"/>
    <w:rsid w:val="5CD042D9"/>
    <w:rsid w:val="5D5D3C01"/>
    <w:rsid w:val="5DA056D9"/>
    <w:rsid w:val="5DFC2C15"/>
    <w:rsid w:val="5E346813"/>
    <w:rsid w:val="5E472DB3"/>
    <w:rsid w:val="5EED50AB"/>
    <w:rsid w:val="604102EF"/>
    <w:rsid w:val="62897240"/>
    <w:rsid w:val="632E3D99"/>
    <w:rsid w:val="63C6685A"/>
    <w:rsid w:val="665372B3"/>
    <w:rsid w:val="674D17AB"/>
    <w:rsid w:val="674D61EE"/>
    <w:rsid w:val="677E10F1"/>
    <w:rsid w:val="6A1C31A6"/>
    <w:rsid w:val="6C3F5DB4"/>
    <w:rsid w:val="6DDD2B82"/>
    <w:rsid w:val="6F084A97"/>
    <w:rsid w:val="6F753967"/>
    <w:rsid w:val="70E51F56"/>
    <w:rsid w:val="726834BC"/>
    <w:rsid w:val="72D17C16"/>
    <w:rsid w:val="73D74B7E"/>
    <w:rsid w:val="779E4C0D"/>
    <w:rsid w:val="78371EF2"/>
    <w:rsid w:val="7891121C"/>
    <w:rsid w:val="7A53344C"/>
    <w:rsid w:val="7B5550A5"/>
    <w:rsid w:val="7E070FF3"/>
    <w:rsid w:val="7EDE1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C8C98"/>
  <w15:docId w15:val="{8C9821DD-46D1-49F1-9DF5-5A353E0C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qFormat/>
    <w:rPr>
      <w:sz w:val="24"/>
    </w:rPr>
  </w:style>
  <w:style w:type="table" w:styleId="a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a6">
    <w:name w:val="标准文件_段"/>
    <w:qFormat/>
    <w:pPr>
      <w:ind w:firstLineChars="200" w:firstLine="960"/>
      <w:jc w:val="both"/>
    </w:pPr>
    <w:rPr>
      <w:rFonts w:ascii="宋体" w:cs="宋体" w:hint="eastAsia"/>
      <w:sz w:val="21"/>
    </w:rPr>
  </w:style>
  <w:style w:type="paragraph" w:customStyle="1" w:styleId="a">
    <w:name w:val="标准文件_注："/>
    <w:basedOn w:val="a0"/>
    <w:next w:val="a0"/>
    <w:qFormat/>
    <w:pPr>
      <w:numPr>
        <w:numId w:val="1"/>
      </w:numPr>
      <w:autoSpaceDE w:val="0"/>
      <w:autoSpaceDN w:val="0"/>
    </w:pPr>
    <w:rPr>
      <w:rFonts w:ascii="宋体" w:eastAsia="宋体" w:hAnsi="Times New Roman" w:cs="Times New Roman" w:hint="eastAsia"/>
      <w:kern w:val="0"/>
      <w:sz w:val="18"/>
      <w:szCs w:val="18"/>
    </w:rPr>
  </w:style>
  <w:style w:type="paragraph" w:customStyle="1" w:styleId="a7">
    <w:name w:val="标准文件_表格"/>
    <w:basedOn w:val="a0"/>
    <w:qFormat/>
    <w:pPr>
      <w:widowControl/>
      <w:autoSpaceDE w:val="0"/>
      <w:autoSpaceDN w:val="0"/>
      <w:jc w:val="center"/>
    </w:pPr>
    <w:rPr>
      <w:rFonts w:ascii="宋体" w:eastAsia="宋体" w:hAnsi="Times New Roman" w:cs="Times New Roman" w:hint="eastAsia"/>
      <w:kern w:val="0"/>
      <w:sz w:val="18"/>
      <w:szCs w:val="20"/>
    </w:rPr>
  </w:style>
  <w:style w:type="character" w:customStyle="1" w:styleId="Char">
    <w:name w:val="标准文件_段 Char"/>
    <w:basedOn w:val="a1"/>
    <w:qFormat/>
    <w:rPr>
      <w:rFonts w:ascii="宋体" w:eastAsia="宋体" w:hAnsi="宋体" w:cs="宋体" w:hint="eastAsia"/>
      <w:sz w:val="21"/>
    </w:rPr>
  </w:style>
  <w:style w:type="paragraph" w:styleId="a8">
    <w:name w:val="header"/>
    <w:basedOn w:val="a0"/>
    <w:link w:val="a9"/>
    <w:rsid w:val="006766E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rsid w:val="006766E7"/>
    <w:rPr>
      <w:rFonts w:asciiTheme="minorHAnsi" w:eastAsiaTheme="minorEastAsia" w:hAnsiTheme="minorHAnsi" w:cstheme="minorBidi"/>
      <w:kern w:val="2"/>
      <w:sz w:val="18"/>
      <w:szCs w:val="18"/>
    </w:rPr>
  </w:style>
  <w:style w:type="paragraph" w:styleId="aa">
    <w:name w:val="footer"/>
    <w:basedOn w:val="a0"/>
    <w:link w:val="ab"/>
    <w:rsid w:val="006766E7"/>
    <w:pPr>
      <w:tabs>
        <w:tab w:val="center" w:pos="4153"/>
        <w:tab w:val="right" w:pos="8306"/>
      </w:tabs>
      <w:snapToGrid w:val="0"/>
      <w:jc w:val="left"/>
    </w:pPr>
    <w:rPr>
      <w:sz w:val="18"/>
      <w:szCs w:val="18"/>
    </w:rPr>
  </w:style>
  <w:style w:type="character" w:customStyle="1" w:styleId="ab">
    <w:name w:val="页脚 字符"/>
    <w:basedOn w:val="a1"/>
    <w:link w:val="aa"/>
    <w:rsid w:val="006766E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1069</Words>
  <Characters>1338</Characters>
  <Application>Microsoft Office Word</Application>
  <DocSecurity>0</DocSecurity>
  <Lines>223</Lines>
  <Paragraphs>200</Paragraphs>
  <ScaleCrop>false</ScaleCrop>
  <Company>Microsoft</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魏波</dc:creator>
  <cp:lastModifiedBy>Administrator</cp:lastModifiedBy>
  <cp:revision>2</cp:revision>
  <dcterms:created xsi:type="dcterms:W3CDTF">2023-04-27T04:56:00Z</dcterms:created>
  <dcterms:modified xsi:type="dcterms:W3CDTF">2023-05-22T06:16:00Z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827908D6470E41A7B4D7C85A5BDDC94B_11</vt:lpwstr>
  </property>
</Properties>
</file>