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cs="Arial"/>
          <w:color w:val="444444"/>
          <w:sz w:val="28"/>
          <w:szCs w:val="28"/>
        </w:rPr>
      </w:pPr>
    </w:p>
    <w:p>
      <w:pPr>
        <w:spacing w:line="360" w:lineRule="auto"/>
        <w:rPr>
          <w:rFonts w:ascii="宋体" w:hAnsi="宋体" w:cs="Arial"/>
          <w:color w:val="444444"/>
          <w:sz w:val="28"/>
          <w:szCs w:val="28"/>
        </w:rPr>
      </w:pPr>
    </w:p>
    <w:p>
      <w:pPr>
        <w:spacing w:line="360" w:lineRule="auto"/>
        <w:rPr>
          <w:rFonts w:ascii="宋体" w:hAnsi="宋体" w:cs="Arial"/>
          <w:color w:val="444444"/>
          <w:sz w:val="28"/>
          <w:szCs w:val="28"/>
        </w:rPr>
      </w:pPr>
      <w:r>
        <w:rPr>
          <w:rFonts w:hint="eastAsia" w:ascii="宋体" w:hAnsi="宋体" w:cs="Arial"/>
          <w:color w:val="444444"/>
          <w:sz w:val="28"/>
          <w:szCs w:val="28"/>
        </w:rPr>
        <w:t xml:space="preserve">                                           </w:t>
      </w:r>
    </w:p>
    <w:p>
      <w:pPr>
        <w:spacing w:line="360" w:lineRule="auto"/>
        <w:rPr>
          <w:rFonts w:ascii="宋体" w:hAnsi="宋体" w:cs="Arial"/>
          <w:b/>
          <w:color w:val="444444"/>
          <w:sz w:val="28"/>
          <w:szCs w:val="28"/>
        </w:rPr>
      </w:pPr>
    </w:p>
    <w:p>
      <w:pPr>
        <w:spacing w:line="360" w:lineRule="auto"/>
        <w:rPr>
          <w:rFonts w:ascii="宋体" w:hAnsi="宋体" w:cs="Arial"/>
          <w:b/>
          <w:color w:val="444444"/>
          <w:sz w:val="28"/>
          <w:szCs w:val="28"/>
        </w:rPr>
      </w:pPr>
    </w:p>
    <w:p>
      <w:pPr>
        <w:spacing w:line="360" w:lineRule="auto"/>
        <w:rPr>
          <w:rFonts w:ascii="宋体" w:hAnsi="宋体" w:cs="Arial"/>
          <w:b/>
          <w:color w:val="444444"/>
          <w:sz w:val="28"/>
          <w:szCs w:val="28"/>
        </w:rPr>
      </w:pPr>
    </w:p>
    <w:p>
      <w:pPr>
        <w:spacing w:line="360" w:lineRule="auto"/>
        <w:rPr>
          <w:rFonts w:ascii="宋体" w:hAnsi="宋体" w:cs="Arial"/>
          <w:b/>
          <w:color w:val="444444"/>
          <w:sz w:val="28"/>
          <w:szCs w:val="28"/>
        </w:rPr>
      </w:pPr>
      <w:r>
        <w:pict>
          <v:shape id="文本框 1" o:spid="_x0000_s1026" o:spt="202" type="#_x0000_t202" style="position:absolute;left:0pt;margin-left:-9pt;margin-top:7.8pt;height:234pt;width:450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">
            <v:path/>
            <v:fill on="f" focussize="0,0"/>
            <v:stroke on="f" joinstyle="miter"/>
            <v:imagedata o:title=""/>
            <o:lock v:ext="edit"/>
            <v:textbox>
              <w:txbxContent>
                <w:p>
                  <w:pPr>
                    <w:spacing w:beforeLines="50" w:afterLines="50"/>
                    <w:jc w:val="center"/>
                    <w:rPr>
                      <w:rFonts w:ascii="方正小标宋_GBK" w:hAnsi="微软雅黑" w:eastAsia="方正小标宋_GBK"/>
                      <w:bCs/>
                      <w:sz w:val="52"/>
                      <w:szCs w:val="52"/>
                    </w:rPr>
                  </w:pPr>
                  <w:r>
                    <w:rPr>
                      <w:rFonts w:hint="eastAsia" w:ascii="方正小标宋_GBK" w:hAnsi="微软雅黑" w:eastAsia="方正小标宋_GBK"/>
                      <w:bCs/>
                      <w:sz w:val="52"/>
                      <w:szCs w:val="52"/>
                    </w:rPr>
                    <w:t>《</w:t>
                  </w:r>
                  <w:r>
                    <w:rPr>
                      <w:rFonts w:hint="eastAsia" w:ascii="方正小标宋_GBK" w:eastAsia="方正小标宋_GBK"/>
                      <w:b/>
                      <w:bCs/>
                      <w:sz w:val="52"/>
                      <w:szCs w:val="52"/>
                    </w:rPr>
                    <w:t>园林植物栽植土质量要求</w:t>
                  </w:r>
                  <w:r>
                    <w:rPr>
                      <w:rFonts w:hint="eastAsia" w:ascii="方正小标宋_GBK" w:hAnsi="微软雅黑" w:eastAsia="方正小标宋_GBK"/>
                      <w:bCs/>
                      <w:sz w:val="52"/>
                      <w:szCs w:val="52"/>
                    </w:rPr>
                    <w:t>》</w:t>
                  </w:r>
                </w:p>
                <w:p>
                  <w:pPr>
                    <w:spacing w:beforeLines="50" w:afterLines="50"/>
                    <w:jc w:val="center"/>
                    <w:rPr>
                      <w:rFonts w:ascii="方正小标宋_GBK" w:eastAsia="方正小标宋_GBK"/>
                      <w:b/>
                      <w:bCs/>
                      <w:sz w:val="52"/>
                      <w:szCs w:val="52"/>
                    </w:rPr>
                  </w:pPr>
                  <w:r>
                    <w:rPr>
                      <w:rFonts w:hint="eastAsia" w:ascii="方正小标宋_GBK" w:eastAsia="方正小标宋_GBK"/>
                      <w:b/>
                      <w:bCs/>
                      <w:sz w:val="52"/>
                      <w:szCs w:val="52"/>
                    </w:rPr>
                    <w:t>修订说明</w:t>
                  </w:r>
                </w:p>
                <w:p>
                  <w:pPr>
                    <w:rPr>
                      <w:rFonts w:ascii="黑体" w:hAnsi="黑体" w:eastAsia="黑体"/>
                      <w:sz w:val="36"/>
                      <w:szCs w:val="36"/>
                    </w:rPr>
                  </w:pPr>
                </w:p>
              </w:txbxContent>
            </v:textbox>
          </v:shape>
        </w:pict>
      </w:r>
    </w:p>
    <w:p>
      <w:pPr>
        <w:spacing w:line="360" w:lineRule="auto"/>
        <w:rPr>
          <w:rFonts w:ascii="宋体" w:hAnsi="宋体" w:cs="Arial"/>
          <w:b/>
          <w:color w:val="444444"/>
          <w:sz w:val="28"/>
          <w:szCs w:val="28"/>
        </w:rPr>
      </w:pPr>
    </w:p>
    <w:p>
      <w:pPr>
        <w:spacing w:line="360" w:lineRule="auto"/>
        <w:rPr>
          <w:rFonts w:ascii="宋体" w:hAnsi="宋体" w:cs="Arial"/>
          <w:b/>
          <w:color w:val="444444"/>
          <w:sz w:val="28"/>
          <w:szCs w:val="28"/>
        </w:rPr>
      </w:pPr>
    </w:p>
    <w:p>
      <w:pPr>
        <w:spacing w:line="360" w:lineRule="auto"/>
        <w:rPr>
          <w:rFonts w:ascii="宋体" w:hAnsi="宋体" w:cs="Arial"/>
          <w:b/>
          <w:color w:val="444444"/>
          <w:sz w:val="28"/>
          <w:szCs w:val="28"/>
        </w:rPr>
      </w:pPr>
    </w:p>
    <w:p>
      <w:pPr>
        <w:spacing w:line="360" w:lineRule="auto"/>
        <w:rPr>
          <w:rFonts w:ascii="宋体" w:hAnsi="宋体" w:cs="Arial"/>
          <w:b/>
          <w:color w:val="444444"/>
          <w:sz w:val="28"/>
          <w:szCs w:val="28"/>
        </w:rPr>
      </w:pPr>
    </w:p>
    <w:p>
      <w:pPr>
        <w:spacing w:line="360" w:lineRule="auto"/>
        <w:rPr>
          <w:rFonts w:ascii="宋体" w:hAnsi="宋体" w:cs="Arial"/>
          <w:color w:val="444444"/>
          <w:sz w:val="28"/>
          <w:szCs w:val="28"/>
          <w:u w:val="single"/>
        </w:rPr>
      </w:pPr>
    </w:p>
    <w:p>
      <w:pPr>
        <w:spacing w:line="360" w:lineRule="auto"/>
        <w:rPr>
          <w:rFonts w:ascii="宋体" w:hAnsi="宋体" w:cs="Arial"/>
          <w:color w:val="444444"/>
          <w:sz w:val="28"/>
          <w:szCs w:val="28"/>
          <w:u w:val="single"/>
        </w:rPr>
      </w:pPr>
    </w:p>
    <w:p>
      <w:pPr>
        <w:spacing w:line="360" w:lineRule="auto"/>
        <w:rPr>
          <w:rFonts w:ascii="宋体" w:hAnsi="宋体" w:cs="Arial"/>
          <w:color w:val="444444"/>
          <w:sz w:val="28"/>
          <w:szCs w:val="28"/>
          <w:u w:val="single"/>
        </w:rPr>
      </w:pPr>
    </w:p>
    <w:p>
      <w:pPr>
        <w:spacing w:line="360" w:lineRule="auto"/>
        <w:rPr>
          <w:rFonts w:ascii="宋体" w:hAnsi="宋体" w:cs="Arial"/>
          <w:color w:val="444444"/>
          <w:sz w:val="28"/>
          <w:szCs w:val="28"/>
          <w:u w:val="single"/>
        </w:rPr>
      </w:pPr>
    </w:p>
    <w:p>
      <w:pPr>
        <w:spacing w:line="360" w:lineRule="auto"/>
        <w:rPr>
          <w:rFonts w:ascii="宋体" w:hAnsi="宋体" w:cs="Arial"/>
          <w:color w:val="444444"/>
          <w:sz w:val="28"/>
          <w:szCs w:val="28"/>
          <w:u w:val="single"/>
        </w:rPr>
      </w:pPr>
    </w:p>
    <w:p>
      <w:pPr>
        <w:spacing w:line="360" w:lineRule="auto"/>
        <w:rPr>
          <w:rFonts w:ascii="宋体" w:hAnsi="宋体" w:cs="Arial"/>
          <w:color w:val="444444"/>
          <w:sz w:val="28"/>
          <w:szCs w:val="28"/>
          <w:u w:val="single"/>
        </w:rPr>
      </w:pPr>
    </w:p>
    <w:p>
      <w:pPr>
        <w:spacing w:beforeLines="50" w:afterLines="50"/>
        <w:jc w:val="center"/>
        <w:rPr>
          <w:rFonts w:ascii="仿宋_GB2312" w:hAnsi="仿宋" w:eastAsia="仿宋_GB2312"/>
          <w:bCs/>
          <w:sz w:val="32"/>
          <w:szCs w:val="32"/>
        </w:rPr>
      </w:pPr>
      <w:r>
        <w:rPr>
          <w:rFonts w:hint="eastAsia" w:ascii="仿宋_GB2312" w:hAnsi="仿宋" w:eastAsia="仿宋_GB2312"/>
          <w:bCs/>
          <w:sz w:val="32"/>
          <w:szCs w:val="32"/>
        </w:rPr>
        <w:t>标准起草小组</w:t>
      </w:r>
    </w:p>
    <w:p>
      <w:pPr>
        <w:spacing w:line="360" w:lineRule="auto"/>
        <w:jc w:val="center"/>
        <w:rPr>
          <w:rFonts w:ascii="仿宋_GB2312" w:hAnsi="仿宋" w:eastAsia="仿宋_GB2312"/>
          <w:bCs/>
          <w:sz w:val="32"/>
          <w:szCs w:val="32"/>
        </w:rPr>
      </w:pPr>
      <w:r>
        <w:rPr>
          <w:rFonts w:hint="eastAsia" w:ascii="仿宋_GB2312" w:hAnsi="仿宋" w:eastAsia="仿宋_GB2312"/>
          <w:bCs/>
          <w:sz w:val="32"/>
          <w:szCs w:val="32"/>
        </w:rPr>
        <w:t>二零二三年六月</w:t>
      </w:r>
    </w:p>
    <w:p>
      <w:pPr>
        <w:spacing w:line="360" w:lineRule="auto"/>
        <w:rPr>
          <w:rFonts w:ascii="宋体" w:hAnsi="宋体" w:cs="Arial"/>
          <w:color w:val="444444"/>
          <w:sz w:val="28"/>
          <w:szCs w:val="28"/>
          <w:u w:val="single"/>
        </w:rPr>
      </w:pPr>
    </w:p>
    <w:p>
      <w:pPr>
        <w:widowControl/>
        <w:spacing w:line="360" w:lineRule="auto"/>
        <w:jc w:val="left"/>
        <w:rPr>
          <w:rFonts w:ascii="宋体" w:hAnsi="宋体"/>
          <w:sz w:val="28"/>
          <w:szCs w:val="28"/>
        </w:rPr>
        <w:sectPr>
          <w:pgSz w:w="11906" w:h="16838"/>
          <w:pgMar w:top="1440" w:right="1800" w:bottom="1440" w:left="1800" w:header="851" w:footer="992" w:gutter="0"/>
          <w:cols w:space="720" w:num="1"/>
          <w:docGrid w:type="lines" w:linePitch="312" w:charSpace="0"/>
        </w:sectPr>
      </w:pPr>
    </w:p>
    <w:p>
      <w:pPr>
        <w:pStyle w:val="4"/>
        <w:tabs>
          <w:tab w:val="left" w:pos="9000"/>
        </w:tabs>
        <w:adjustRightInd w:val="0"/>
        <w:snapToGrid w:val="0"/>
        <w:spacing w:line="360" w:lineRule="auto"/>
        <w:ind w:firstLine="643" w:firstLineChars="200"/>
        <w:outlineLvl w:val="1"/>
        <w:rPr>
          <w:rFonts w:ascii="黑体" w:hAnsi="黑体" w:eastAsia="黑体"/>
          <w:b/>
          <w:sz w:val="32"/>
          <w:szCs w:val="32"/>
        </w:rPr>
      </w:pPr>
      <w:bookmarkStart w:id="0" w:name="_Toc1705"/>
      <w:r>
        <w:rPr>
          <w:rFonts w:hint="eastAsia" w:ascii="黑体" w:hAnsi="黑体" w:eastAsia="黑体"/>
          <w:b/>
          <w:sz w:val="32"/>
          <w:szCs w:val="32"/>
        </w:rPr>
        <w:t>一、工作简况</w:t>
      </w:r>
      <w:bookmarkEnd w:id="0"/>
    </w:p>
    <w:p>
      <w:pPr>
        <w:pStyle w:val="4"/>
        <w:tabs>
          <w:tab w:val="left" w:pos="9000"/>
        </w:tabs>
        <w:adjustRightInd w:val="0"/>
        <w:snapToGrid w:val="0"/>
        <w:spacing w:line="360" w:lineRule="auto"/>
        <w:ind w:firstLine="643" w:firstLineChars="200"/>
        <w:outlineLvl w:val="1"/>
        <w:rPr>
          <w:rFonts w:ascii="楷体" w:hAnsi="楷体" w:eastAsia="楷体"/>
          <w:b/>
          <w:sz w:val="32"/>
          <w:szCs w:val="32"/>
        </w:rPr>
      </w:pPr>
      <w:bookmarkStart w:id="1" w:name="_Toc10111"/>
      <w:r>
        <w:rPr>
          <w:rFonts w:hint="eastAsia" w:ascii="楷体" w:hAnsi="楷体" w:eastAsia="楷体"/>
          <w:b/>
          <w:sz w:val="32"/>
          <w:szCs w:val="32"/>
        </w:rPr>
        <w:t>（一）项目来源</w:t>
      </w:r>
      <w:bookmarkEnd w:id="1"/>
    </w:p>
    <w:p>
      <w:pPr>
        <w:pStyle w:val="4"/>
        <w:tabs>
          <w:tab w:val="left" w:pos="9135"/>
        </w:tabs>
        <w:adjustRightInd w:val="0"/>
        <w:snapToGrid w:val="0"/>
        <w:spacing w:line="360" w:lineRule="auto"/>
        <w:ind w:firstLine="640" w:firstLineChars="200"/>
        <w:rPr>
          <w:rFonts w:ascii="Times New Roman" w:hAnsi="Times New Roman" w:eastAsia="仿宋_GB2312"/>
          <w:b/>
          <w:sz w:val="32"/>
          <w:szCs w:val="32"/>
        </w:rPr>
      </w:pPr>
      <w:r>
        <w:rPr>
          <w:rFonts w:ascii="Times New Roman" w:hAnsi="Times New Roman" w:eastAsia="仿宋_GB2312"/>
          <w:color w:val="000000"/>
          <w:sz w:val="32"/>
          <w:szCs w:val="32"/>
        </w:rPr>
        <w:t>2022年5月17日，江西省市场监督管理局下发了《关于公布江西省地方标准集中复审结论的通知》（赣市监标[2022]5号），要求我单位根据标准复审的有关规定，对地方标准《南昌市园林植物栽植土质量》（</w:t>
      </w:r>
      <w:bookmarkStart w:id="2" w:name="OLE_LINK1"/>
      <w:r>
        <w:rPr>
          <w:rFonts w:ascii="Times New Roman" w:hAnsi="Times New Roman" w:eastAsia="仿宋_GB2312"/>
          <w:color w:val="000000"/>
          <w:sz w:val="32"/>
          <w:szCs w:val="32"/>
        </w:rPr>
        <w:t>DB36/T 585-2010</w:t>
      </w:r>
      <w:bookmarkEnd w:id="2"/>
      <w:r>
        <w:rPr>
          <w:rFonts w:ascii="Times New Roman" w:hAnsi="Times New Roman" w:eastAsia="仿宋_GB2312"/>
          <w:color w:val="000000"/>
          <w:sz w:val="32"/>
          <w:szCs w:val="32"/>
        </w:rPr>
        <w:t>）进行修订。</w:t>
      </w:r>
      <w:bookmarkStart w:id="28" w:name="_GoBack"/>
      <w:bookmarkEnd w:id="28"/>
    </w:p>
    <w:p>
      <w:pPr>
        <w:pStyle w:val="4"/>
        <w:tabs>
          <w:tab w:val="left" w:pos="9135"/>
        </w:tabs>
        <w:adjustRightInd w:val="0"/>
        <w:snapToGrid w:val="0"/>
        <w:spacing w:line="360" w:lineRule="auto"/>
        <w:ind w:firstLine="643" w:firstLineChars="200"/>
        <w:rPr>
          <w:rFonts w:ascii="楷体" w:hAnsi="楷体" w:eastAsia="楷体"/>
          <w:b/>
          <w:sz w:val="32"/>
          <w:szCs w:val="32"/>
        </w:rPr>
      </w:pPr>
      <w:r>
        <w:rPr>
          <w:rFonts w:hint="eastAsia" w:ascii="楷体" w:hAnsi="楷体" w:eastAsia="楷体"/>
          <w:b/>
          <w:sz w:val="32"/>
          <w:szCs w:val="32"/>
        </w:rPr>
        <w:t>（二）起草单位</w:t>
      </w:r>
    </w:p>
    <w:p>
      <w:pPr>
        <w:pStyle w:val="4"/>
        <w:tabs>
          <w:tab w:val="left" w:pos="9135"/>
        </w:tabs>
        <w:adjustRightInd w:val="0"/>
        <w:snapToGrid w:val="0"/>
        <w:spacing w:line="360" w:lineRule="auto"/>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南昌市园林绿化服务中心</w:t>
      </w:r>
    </w:p>
    <w:p>
      <w:pPr>
        <w:ind w:firstLine="643" w:firstLineChars="200"/>
        <w:rPr>
          <w:rFonts w:ascii="楷体" w:hAnsi="楷体" w:eastAsia="楷体"/>
          <w:b/>
          <w:color w:val="000000" w:themeColor="text1"/>
          <w:sz w:val="32"/>
          <w:szCs w:val="32"/>
        </w:rPr>
      </w:pPr>
      <w:r>
        <w:rPr>
          <w:rFonts w:hint="eastAsia" w:ascii="楷体" w:hAnsi="楷体" w:eastAsia="楷体"/>
          <w:b/>
          <w:sz w:val="32"/>
          <w:szCs w:val="32"/>
        </w:rPr>
        <w:t>（三）</w:t>
      </w:r>
      <w:r>
        <w:rPr>
          <w:rFonts w:hint="eastAsia" w:ascii="楷体" w:hAnsi="楷体" w:eastAsia="楷体"/>
          <w:b/>
          <w:color w:val="000000" w:themeColor="text1"/>
          <w:sz w:val="32"/>
          <w:szCs w:val="32"/>
        </w:rPr>
        <w:t>主要起草人</w:t>
      </w:r>
    </w:p>
    <w:tbl>
      <w:tblPr>
        <w:tblStyle w:val="8"/>
        <w:tblW w:w="8738"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3969"/>
        <w:gridCol w:w="3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姓 名</w:t>
            </w:r>
          </w:p>
        </w:tc>
        <w:tc>
          <w:tcPr>
            <w:tcW w:w="3969" w:type="dxa"/>
            <w:shd w:val="clear" w:color="auto" w:fill="auto"/>
            <w:vAlign w:val="center"/>
          </w:tcPr>
          <w:p>
            <w:pPr>
              <w:pStyle w:val="4"/>
              <w:tabs>
                <w:tab w:val="left" w:pos="9135"/>
              </w:tabs>
              <w:adjustRightInd w:val="0"/>
              <w:snapToGrid w:val="0"/>
              <w:ind w:firstLine="640" w:firstLineChars="20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工作单位</w:t>
            </w:r>
          </w:p>
        </w:tc>
        <w:tc>
          <w:tcPr>
            <w:tcW w:w="3383" w:type="dxa"/>
            <w:shd w:val="clear" w:color="auto" w:fill="auto"/>
            <w:vAlign w:val="center"/>
          </w:tcPr>
          <w:p>
            <w:pPr>
              <w:pStyle w:val="4"/>
              <w:tabs>
                <w:tab w:val="left" w:pos="9135"/>
              </w:tabs>
              <w:adjustRightInd w:val="0"/>
              <w:snapToGrid w:val="0"/>
              <w:ind w:firstLine="640" w:firstLineChars="20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王小慧</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指标研究和标准起草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陶武杰</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组织编写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杨逆</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意见整理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万路</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采样及指标检验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张悦</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徐磊</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意见整理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陆彦名</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指标检验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余雨珊</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指标检验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陈瑜</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指标研究与技术指导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周云</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386"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周晶</w:t>
            </w:r>
          </w:p>
        </w:tc>
        <w:tc>
          <w:tcPr>
            <w:tcW w:w="3969"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南昌市园林绿化服务中心</w:t>
            </w:r>
          </w:p>
        </w:tc>
        <w:tc>
          <w:tcPr>
            <w:tcW w:w="3383" w:type="dxa"/>
            <w:shd w:val="clear" w:color="auto" w:fill="auto"/>
            <w:vAlign w:val="center"/>
          </w:tcPr>
          <w:p>
            <w:pPr>
              <w:pStyle w:val="4"/>
              <w:tabs>
                <w:tab w:val="left" w:pos="9135"/>
              </w:tabs>
              <w:adjustRightInd w:val="0"/>
              <w:snapToGrid w:val="0"/>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意见整理</w:t>
            </w:r>
          </w:p>
        </w:tc>
      </w:tr>
    </w:tbl>
    <w:p>
      <w:pPr>
        <w:pStyle w:val="4"/>
        <w:tabs>
          <w:tab w:val="left" w:pos="9135"/>
        </w:tabs>
        <w:adjustRightInd w:val="0"/>
        <w:snapToGrid w:val="0"/>
        <w:spacing w:line="360" w:lineRule="auto"/>
        <w:ind w:firstLine="640" w:firstLineChars="200"/>
        <w:rPr>
          <w:rFonts w:ascii="Times New Roman" w:hAnsi="Times New Roman" w:eastAsia="仿宋_GB2312"/>
          <w:color w:val="000000"/>
          <w:sz w:val="32"/>
          <w:szCs w:val="32"/>
        </w:rPr>
      </w:pPr>
    </w:p>
    <w:p>
      <w:pPr>
        <w:pStyle w:val="4"/>
        <w:tabs>
          <w:tab w:val="left" w:pos="9000"/>
        </w:tabs>
        <w:adjustRightInd w:val="0"/>
        <w:snapToGrid w:val="0"/>
        <w:spacing w:line="360" w:lineRule="auto"/>
        <w:ind w:firstLine="643" w:firstLineChars="200"/>
        <w:outlineLvl w:val="1"/>
        <w:rPr>
          <w:rFonts w:ascii="黑体" w:hAnsi="黑体" w:eastAsia="黑体"/>
          <w:b/>
          <w:sz w:val="32"/>
          <w:szCs w:val="32"/>
        </w:rPr>
      </w:pPr>
      <w:bookmarkStart w:id="3" w:name="_Toc19966"/>
      <w:r>
        <w:rPr>
          <w:rFonts w:hint="eastAsia" w:ascii="黑体" w:hAnsi="黑体" w:eastAsia="黑体"/>
          <w:b/>
          <w:sz w:val="32"/>
          <w:szCs w:val="32"/>
        </w:rPr>
        <w:t>二、</w:t>
      </w:r>
      <w:r>
        <w:rPr>
          <w:rFonts w:ascii="黑体" w:hAnsi="黑体" w:eastAsia="黑体"/>
          <w:b/>
          <w:sz w:val="32"/>
          <w:szCs w:val="32"/>
        </w:rPr>
        <w:t xml:space="preserve"> </w:t>
      </w:r>
      <w:r>
        <w:rPr>
          <w:rFonts w:hint="eastAsia" w:ascii="黑体" w:hAnsi="黑体" w:eastAsia="黑体"/>
          <w:b/>
          <w:sz w:val="32"/>
          <w:szCs w:val="32"/>
        </w:rPr>
        <w:t>编制目的</w:t>
      </w:r>
      <w:bookmarkEnd w:id="3"/>
      <w:r>
        <w:rPr>
          <w:rFonts w:hint="eastAsia" w:ascii="黑体" w:hAnsi="黑体" w:eastAsia="黑体"/>
          <w:b/>
          <w:sz w:val="32"/>
          <w:szCs w:val="32"/>
        </w:rPr>
        <w:t>和意义</w:t>
      </w:r>
    </w:p>
    <w:p>
      <w:pPr>
        <w:spacing w:line="360" w:lineRule="auto"/>
        <w:ind w:firstLine="640" w:firstLineChars="200"/>
        <w:rPr>
          <w:rFonts w:eastAsia="仿宋_GB2312"/>
          <w:color w:val="000000"/>
          <w:sz w:val="32"/>
          <w:szCs w:val="32"/>
        </w:rPr>
      </w:pPr>
      <w:r>
        <w:rPr>
          <w:rFonts w:eastAsia="仿宋_GB2312"/>
          <w:color w:val="000000"/>
          <w:sz w:val="32"/>
          <w:szCs w:val="32"/>
        </w:rPr>
        <w:t>随着经济的快速发展和生活质量不断提高，人们对城市生态环境质量也越来越关注，城市绿地在改善城市生态环境、美化城市景观方面起着不可替代的作用。土地承载万物，土壤生养万物。在城市生态系统中，土壤的组成、性质及污染状况对城市绿地建设、城市区域环境质量及人们健康都有十分重要的影响。为进一步提高绿化栽培水平，规范园林绿化土壤质量，确保绿化植物栽培质量是十分必要与及时的。</w:t>
      </w:r>
    </w:p>
    <w:p>
      <w:pPr>
        <w:spacing w:line="360" w:lineRule="auto"/>
        <w:ind w:firstLine="640" w:firstLineChars="200"/>
        <w:rPr>
          <w:rFonts w:eastAsia="仿宋_GB2312"/>
          <w:color w:val="000000"/>
          <w:sz w:val="32"/>
          <w:szCs w:val="32"/>
        </w:rPr>
      </w:pPr>
      <w:r>
        <w:rPr>
          <w:rFonts w:eastAsia="仿宋_GB2312"/>
          <w:color w:val="000000"/>
          <w:sz w:val="32"/>
          <w:szCs w:val="32"/>
        </w:rPr>
        <w:t>经国家住房城乡建设部批准，2011年发布了行业标准《绿化种植土壤》( </w:t>
      </w:r>
      <w:r>
        <w:fldChar w:fldCharType="begin"/>
      </w:r>
      <w:r>
        <w:instrText xml:space="preserve"> HYPERLINK "http://www.csres.com/detail/217691.html" \t "_blank" </w:instrText>
      </w:r>
      <w:r>
        <w:fldChar w:fldCharType="separate"/>
      </w:r>
      <w:r>
        <w:rPr>
          <w:rStyle w:val="10"/>
          <w:rFonts w:eastAsia="仿宋_GB2312"/>
          <w:color w:val="000000"/>
          <w:sz w:val="32"/>
          <w:szCs w:val="32"/>
          <w:u w:val="none"/>
        </w:rPr>
        <w:t>CJ/T 340-2011</w:t>
      </w:r>
      <w:r>
        <w:rPr>
          <w:rStyle w:val="10"/>
          <w:rFonts w:eastAsia="仿宋_GB2312"/>
          <w:color w:val="000000"/>
          <w:sz w:val="32"/>
          <w:szCs w:val="32"/>
          <w:u w:val="none"/>
        </w:rPr>
        <w:fldChar w:fldCharType="end"/>
      </w:r>
      <w:r>
        <w:rPr>
          <w:rFonts w:eastAsia="仿宋_GB2312"/>
          <w:color w:val="000000"/>
          <w:sz w:val="32"/>
          <w:szCs w:val="32"/>
        </w:rPr>
        <w:t xml:space="preserve"> )，2016年上海市园林科学规划研究院起草修订了该行业标准，</w:t>
      </w:r>
      <w:r>
        <w:fldChar w:fldCharType="begin"/>
      </w:r>
      <w:r>
        <w:instrText xml:space="preserve"> HYPERLINK "http://www.csres.com/detail/217691.html" \t "_blank" </w:instrText>
      </w:r>
      <w:r>
        <w:fldChar w:fldCharType="separate"/>
      </w:r>
      <w:r>
        <w:rPr>
          <w:rStyle w:val="10"/>
          <w:rFonts w:eastAsia="仿宋_GB2312"/>
          <w:color w:val="000000"/>
          <w:sz w:val="32"/>
          <w:szCs w:val="32"/>
          <w:u w:val="none"/>
        </w:rPr>
        <w:t>CJ/T 340-2016</w:t>
      </w:r>
      <w:r>
        <w:rPr>
          <w:rStyle w:val="10"/>
          <w:rFonts w:eastAsia="仿宋_GB2312"/>
          <w:color w:val="000000"/>
          <w:sz w:val="32"/>
          <w:szCs w:val="32"/>
          <w:u w:val="none"/>
        </w:rPr>
        <w:fldChar w:fldCharType="end"/>
      </w:r>
      <w:r>
        <w:rPr>
          <w:rFonts w:eastAsia="仿宋_GB2312"/>
          <w:color w:val="000000"/>
          <w:sz w:val="32"/>
          <w:szCs w:val="32"/>
        </w:rPr>
        <w:t xml:space="preserve"> 较旧版本有20余项主要技术指标发生了变化。但是，2010年的地方标准《南昌市园林植物栽植土质量》较以上行业标准均更早发布实施。为了将《南昌市园林绿化栽植土质量》与行业标准更加有效衔接，本次修订结合绿化行业近十余年来所进行的园林绿化栽植土质量相关科研成果，在分析调查了全市7个行政区15个公园的土壤理化性状，明确了定量标准与检验方法，增加了土壤入渗率和质地作为主控指标，具有科学性与可操作性。本修订标准的实施将对今后园林绿化行业进一步规范管理打下扎实的基础，将更有利于本市园林行业精细化管理的落实和绿地土壤质量的提高。</w:t>
      </w:r>
    </w:p>
    <w:p>
      <w:pPr>
        <w:snapToGrid w:val="0"/>
        <w:spacing w:line="360" w:lineRule="auto"/>
        <w:ind w:firstLine="640" w:firstLineChars="200"/>
        <w:rPr>
          <w:rFonts w:eastAsia="仿宋_GB2312"/>
          <w:color w:val="000000"/>
          <w:sz w:val="32"/>
          <w:szCs w:val="32"/>
        </w:rPr>
      </w:pPr>
      <w:r>
        <w:rPr>
          <w:rFonts w:eastAsia="仿宋_GB2312"/>
          <w:color w:val="000000"/>
          <w:sz w:val="32"/>
          <w:szCs w:val="32"/>
        </w:rPr>
        <w:t>综上，</w:t>
      </w:r>
      <w:r>
        <w:rPr>
          <w:rFonts w:hint="eastAsia" w:eastAsia="仿宋_GB2312"/>
          <w:color w:val="000000"/>
          <w:sz w:val="32"/>
          <w:szCs w:val="32"/>
        </w:rPr>
        <w:t>为了</w:t>
      </w:r>
      <w:r>
        <w:rPr>
          <w:rFonts w:eastAsia="仿宋_GB2312"/>
          <w:color w:val="000000"/>
          <w:sz w:val="32"/>
          <w:szCs w:val="32"/>
        </w:rPr>
        <w:t>规范绿地种植土壤质量，更好地与现行行业标准衔接配套，对2010年发布实施的地方标准《南昌市园林植物栽植土质量》（DB 36/T 585-2010）进行修订，以提高标准适用性和实用性。</w:t>
      </w:r>
    </w:p>
    <w:p>
      <w:pPr>
        <w:pStyle w:val="4"/>
        <w:tabs>
          <w:tab w:val="left" w:pos="9000"/>
        </w:tabs>
        <w:adjustRightInd w:val="0"/>
        <w:snapToGrid w:val="0"/>
        <w:spacing w:line="360" w:lineRule="auto"/>
        <w:ind w:firstLine="643" w:firstLineChars="200"/>
        <w:outlineLvl w:val="1"/>
        <w:rPr>
          <w:rFonts w:ascii="黑体" w:hAnsi="黑体" w:eastAsia="黑体"/>
          <w:b/>
          <w:sz w:val="32"/>
          <w:szCs w:val="32"/>
        </w:rPr>
      </w:pPr>
      <w:bookmarkStart w:id="4" w:name="_Toc18985"/>
      <w:r>
        <w:rPr>
          <w:rFonts w:hint="eastAsia" w:ascii="黑体" w:hAnsi="黑体" w:eastAsia="黑体"/>
          <w:b/>
          <w:sz w:val="32"/>
          <w:szCs w:val="32"/>
        </w:rPr>
        <w:t>三</w:t>
      </w:r>
      <w:r>
        <w:rPr>
          <w:rFonts w:ascii="黑体" w:hAnsi="黑体" w:eastAsia="黑体"/>
          <w:b/>
          <w:sz w:val="32"/>
          <w:szCs w:val="32"/>
        </w:rPr>
        <w:t xml:space="preserve"> 、</w:t>
      </w:r>
      <w:r>
        <w:rPr>
          <w:rFonts w:hint="eastAsia" w:ascii="黑体" w:hAnsi="黑体" w:eastAsia="黑体"/>
          <w:b/>
          <w:sz w:val="32"/>
          <w:szCs w:val="32"/>
        </w:rPr>
        <w:t>编制进度</w:t>
      </w:r>
      <w:bookmarkEnd w:id="4"/>
    </w:p>
    <w:p>
      <w:pPr>
        <w:spacing w:line="360" w:lineRule="auto"/>
        <w:ind w:firstLine="640" w:firstLineChars="200"/>
        <w:rPr>
          <w:rFonts w:eastAsia="仿宋_GB2312"/>
          <w:color w:val="000000"/>
          <w:sz w:val="32"/>
          <w:szCs w:val="32"/>
        </w:rPr>
      </w:pPr>
      <w:r>
        <w:rPr>
          <w:rFonts w:eastAsia="仿宋_GB2312"/>
          <w:color w:val="000000"/>
          <w:sz w:val="32"/>
          <w:szCs w:val="32"/>
        </w:rPr>
        <w:t>在标准修订过程中，编写组对江西省近年来的已建成绿地和新建绿地种植土壤开展了调研采样，通过实验室检测分析，整理了南昌市绿地土壤质量现状，先后经历了标准修订稿初稿研究与编写、标准文本征求意见等阶段。本标准的修订工作从2022年6月下旬开始，具体进度说明如下：</w:t>
      </w:r>
    </w:p>
    <w:p>
      <w:pPr>
        <w:spacing w:line="360" w:lineRule="auto"/>
        <w:ind w:firstLine="640" w:firstLineChars="200"/>
        <w:rPr>
          <w:rFonts w:eastAsia="仿宋_GB2312"/>
          <w:color w:val="000000"/>
          <w:sz w:val="32"/>
          <w:szCs w:val="32"/>
        </w:rPr>
      </w:pPr>
      <w:r>
        <w:rPr>
          <w:rFonts w:eastAsia="仿宋_GB2312"/>
          <w:color w:val="000000"/>
          <w:sz w:val="32"/>
          <w:szCs w:val="32"/>
        </w:rPr>
        <w:t>第一阶段：成立标准修订组，召开修订研讨会（2022年6-7月）。</w:t>
      </w:r>
    </w:p>
    <w:p>
      <w:pPr>
        <w:spacing w:line="360" w:lineRule="auto"/>
        <w:ind w:firstLine="640" w:firstLineChars="200"/>
        <w:rPr>
          <w:rFonts w:eastAsia="仿宋_GB2312"/>
          <w:color w:val="000000"/>
          <w:sz w:val="32"/>
          <w:szCs w:val="32"/>
        </w:rPr>
      </w:pPr>
      <w:r>
        <w:rPr>
          <w:rFonts w:eastAsia="仿宋_GB2312"/>
          <w:color w:val="000000"/>
          <w:sz w:val="32"/>
          <w:szCs w:val="32"/>
        </w:rPr>
        <w:t>首先成立标准修订组，主要是南昌市园林绿化服务中心技术人员；然后召开标准修订研讨会，确定工作计划和技术路线。根据工作计划和时间安排分步开展工作。</w:t>
      </w:r>
    </w:p>
    <w:p>
      <w:pPr>
        <w:spacing w:line="360" w:lineRule="auto"/>
        <w:ind w:firstLine="640" w:firstLineChars="200"/>
        <w:rPr>
          <w:rFonts w:eastAsia="仿宋_GB2312"/>
          <w:color w:val="000000"/>
          <w:sz w:val="32"/>
          <w:szCs w:val="32"/>
        </w:rPr>
      </w:pPr>
      <w:r>
        <w:rPr>
          <w:rFonts w:eastAsia="仿宋_GB2312"/>
          <w:color w:val="000000"/>
          <w:sz w:val="32"/>
          <w:szCs w:val="32"/>
        </w:rPr>
        <w:t>第二阶段：资料查询和调研阶段（2022年8月-12月）。</w:t>
      </w:r>
    </w:p>
    <w:p>
      <w:pPr>
        <w:spacing w:line="360" w:lineRule="auto"/>
        <w:ind w:firstLine="640" w:firstLineChars="200"/>
        <w:rPr>
          <w:rFonts w:eastAsia="仿宋_GB2312"/>
          <w:color w:val="000000"/>
          <w:sz w:val="32"/>
          <w:szCs w:val="32"/>
        </w:rPr>
      </w:pPr>
      <w:r>
        <w:rPr>
          <w:rFonts w:eastAsia="仿宋_GB2312"/>
          <w:color w:val="000000"/>
          <w:sz w:val="32"/>
          <w:szCs w:val="32"/>
        </w:rPr>
        <w:t>根据制定的技术路线，收集和查找法律、法规、规章或者国家有关规定以及行业标准，了解相关的应用和研究进展。制定南昌市绿地土壤质量调研方案，对市内7个行政区15个公共绿地土壤进行现场调研采样。</w:t>
      </w:r>
    </w:p>
    <w:p>
      <w:pPr>
        <w:spacing w:line="360" w:lineRule="auto"/>
        <w:ind w:firstLine="640" w:firstLineChars="200"/>
        <w:rPr>
          <w:rFonts w:eastAsia="仿宋_GB2312"/>
          <w:color w:val="000000"/>
          <w:sz w:val="32"/>
          <w:szCs w:val="32"/>
        </w:rPr>
      </w:pPr>
      <w:r>
        <w:rPr>
          <w:rFonts w:eastAsia="仿宋_GB2312"/>
          <w:color w:val="000000"/>
          <w:sz w:val="32"/>
          <w:szCs w:val="32"/>
        </w:rPr>
        <w:t>第三阶段：实验结果汇总及分析（2023年1月-</w:t>
      </w:r>
      <w:r>
        <w:rPr>
          <w:rFonts w:hint="eastAsia" w:eastAsia="仿宋_GB2312"/>
          <w:color w:val="000000"/>
          <w:sz w:val="32"/>
          <w:szCs w:val="32"/>
        </w:rPr>
        <w:t>5</w:t>
      </w:r>
      <w:r>
        <w:rPr>
          <w:rFonts w:eastAsia="仿宋_GB2312"/>
          <w:color w:val="000000"/>
          <w:sz w:val="32"/>
          <w:szCs w:val="32"/>
        </w:rPr>
        <w:t>月）。</w:t>
      </w:r>
    </w:p>
    <w:p>
      <w:pPr>
        <w:spacing w:line="360" w:lineRule="auto"/>
        <w:ind w:firstLine="640" w:firstLineChars="200"/>
        <w:rPr>
          <w:rFonts w:eastAsia="仿宋_GB2312"/>
          <w:color w:val="000000"/>
          <w:sz w:val="32"/>
          <w:szCs w:val="32"/>
        </w:rPr>
      </w:pPr>
      <w:r>
        <w:rPr>
          <w:rFonts w:eastAsia="仿宋_GB2312"/>
          <w:color w:val="000000"/>
          <w:sz w:val="32"/>
          <w:szCs w:val="32"/>
        </w:rPr>
        <w:t>对绿地土壤样品进行理化检测分析，收集、汇总和分析实验数据，掌握不同植被条件下绿地土壤质量现状。</w:t>
      </w:r>
    </w:p>
    <w:p>
      <w:pPr>
        <w:spacing w:line="360" w:lineRule="auto"/>
        <w:ind w:firstLine="640" w:firstLineChars="200"/>
        <w:rPr>
          <w:rFonts w:eastAsia="仿宋_GB2312"/>
          <w:color w:val="000000"/>
          <w:sz w:val="32"/>
          <w:szCs w:val="32"/>
        </w:rPr>
      </w:pPr>
      <w:r>
        <w:rPr>
          <w:rFonts w:eastAsia="仿宋_GB2312"/>
          <w:color w:val="000000"/>
          <w:sz w:val="32"/>
          <w:szCs w:val="32"/>
        </w:rPr>
        <w:t>第四阶段：完成标准修订稿、征求意见（2023年</w:t>
      </w:r>
      <w:r>
        <w:rPr>
          <w:rFonts w:hint="eastAsia" w:eastAsia="仿宋_GB2312"/>
          <w:color w:val="000000"/>
          <w:sz w:val="32"/>
          <w:szCs w:val="32"/>
        </w:rPr>
        <w:t>6</w:t>
      </w:r>
      <w:r>
        <w:rPr>
          <w:rFonts w:eastAsia="仿宋_GB2312"/>
          <w:color w:val="000000"/>
          <w:sz w:val="32"/>
          <w:szCs w:val="32"/>
        </w:rPr>
        <w:t>月-</w:t>
      </w:r>
      <w:r>
        <w:rPr>
          <w:rFonts w:hint="eastAsia" w:eastAsia="仿宋_GB2312"/>
          <w:color w:val="000000"/>
          <w:sz w:val="32"/>
          <w:szCs w:val="32"/>
        </w:rPr>
        <w:t>7</w:t>
      </w:r>
      <w:r>
        <w:rPr>
          <w:rFonts w:eastAsia="仿宋_GB2312"/>
          <w:color w:val="000000"/>
          <w:sz w:val="32"/>
          <w:szCs w:val="32"/>
        </w:rPr>
        <w:t>月）。</w:t>
      </w:r>
    </w:p>
    <w:p>
      <w:pPr>
        <w:widowControl/>
        <w:spacing w:line="360" w:lineRule="auto"/>
        <w:ind w:right="-55" w:rightChars="-26" w:firstLine="640" w:firstLineChars="200"/>
        <w:rPr>
          <w:rFonts w:eastAsia="仿宋_GB2312"/>
          <w:color w:val="000000"/>
          <w:sz w:val="32"/>
          <w:szCs w:val="32"/>
        </w:rPr>
      </w:pPr>
      <w:r>
        <w:rPr>
          <w:rFonts w:eastAsia="仿宋_GB2312"/>
          <w:color w:val="000000"/>
          <w:sz w:val="32"/>
          <w:szCs w:val="32"/>
        </w:rPr>
        <w:t>根据资料分析结果及南昌市绿地土壤现状分析，对原标准内容的合理性和适用性进行了分析，形成标准需要修订的主要技术内容，形成修订初稿。</w:t>
      </w:r>
    </w:p>
    <w:p>
      <w:pPr>
        <w:spacing w:line="360" w:lineRule="auto"/>
        <w:ind w:firstLine="640" w:firstLineChars="200"/>
        <w:rPr>
          <w:rFonts w:eastAsia="仿宋_GB2312"/>
          <w:color w:val="000000"/>
          <w:sz w:val="32"/>
          <w:szCs w:val="32"/>
        </w:rPr>
      </w:pPr>
      <w:r>
        <w:rPr>
          <w:rFonts w:eastAsia="仿宋_GB2312"/>
          <w:color w:val="000000"/>
          <w:sz w:val="32"/>
          <w:szCs w:val="32"/>
        </w:rPr>
        <w:t>第五阶段：网上征求意见（2023年7</w:t>
      </w:r>
      <w:r>
        <w:rPr>
          <w:rFonts w:hint="eastAsia" w:eastAsia="仿宋_GB2312"/>
          <w:color w:val="000000"/>
          <w:sz w:val="32"/>
          <w:szCs w:val="32"/>
        </w:rPr>
        <w:t>-8</w:t>
      </w:r>
      <w:r>
        <w:rPr>
          <w:rFonts w:eastAsia="仿宋_GB2312"/>
          <w:color w:val="000000"/>
          <w:sz w:val="32"/>
          <w:szCs w:val="32"/>
        </w:rPr>
        <w:t>月）</w:t>
      </w:r>
      <w:r>
        <w:rPr>
          <w:rFonts w:hint="eastAsia" w:eastAsia="仿宋_GB2312"/>
          <w:color w:val="000000"/>
          <w:sz w:val="32"/>
          <w:szCs w:val="32"/>
        </w:rPr>
        <w:t>。</w:t>
      </w:r>
    </w:p>
    <w:p>
      <w:pPr>
        <w:spacing w:line="360" w:lineRule="auto"/>
        <w:ind w:firstLine="640" w:firstLineChars="200"/>
        <w:rPr>
          <w:rFonts w:eastAsia="仿宋_GB2312"/>
          <w:color w:val="000000"/>
          <w:sz w:val="32"/>
          <w:szCs w:val="32"/>
        </w:rPr>
      </w:pPr>
      <w:r>
        <w:rPr>
          <w:rFonts w:eastAsia="仿宋_GB2312"/>
          <w:color w:val="000000"/>
          <w:sz w:val="32"/>
          <w:szCs w:val="32"/>
        </w:rPr>
        <w:t>将形成的预审稿提交至江西省标准化业务管理平台，由江西省市场监管局在平台上进行公示，公示期一个月。标准征求意见稿</w:t>
      </w:r>
      <w:r>
        <w:rPr>
          <w:rFonts w:hint="eastAsia" w:eastAsia="仿宋_GB2312"/>
          <w:color w:val="000000"/>
          <w:sz w:val="32"/>
          <w:szCs w:val="32"/>
        </w:rPr>
        <w:t>面向江西农业大学园林与艺术学院、江西省农科院蔬菜花卉研究所、江西省农科院土壤肥料与资源环境研究所、江西省林业科学院、江西省水利科学院、南昌市公园事务中心等6家单位征求</w:t>
      </w:r>
      <w:r>
        <w:rPr>
          <w:rFonts w:eastAsia="仿宋_GB2312"/>
          <w:color w:val="000000"/>
          <w:sz w:val="32"/>
          <w:szCs w:val="32"/>
        </w:rPr>
        <w:t>省内各方面的意见，再将网上的意见反馈汇总后，形成网上意见反馈汇总表。</w:t>
      </w:r>
    </w:p>
    <w:p>
      <w:pPr>
        <w:spacing w:line="360" w:lineRule="auto"/>
        <w:ind w:firstLine="640" w:firstLineChars="200"/>
        <w:rPr>
          <w:rFonts w:eastAsia="仿宋_GB2312"/>
          <w:color w:val="000000"/>
          <w:sz w:val="32"/>
          <w:szCs w:val="32"/>
        </w:rPr>
      </w:pPr>
      <w:r>
        <w:rPr>
          <w:rFonts w:eastAsia="仿宋_GB2312"/>
          <w:color w:val="000000"/>
          <w:sz w:val="32"/>
          <w:szCs w:val="32"/>
        </w:rPr>
        <w:t>第六阶段：形成定稿（2023年</w:t>
      </w:r>
      <w:r>
        <w:rPr>
          <w:rFonts w:hint="eastAsia" w:eastAsia="仿宋_GB2312"/>
          <w:color w:val="000000"/>
          <w:sz w:val="32"/>
          <w:szCs w:val="32"/>
        </w:rPr>
        <w:t>9-10</w:t>
      </w:r>
      <w:r>
        <w:rPr>
          <w:rFonts w:eastAsia="仿宋_GB2312"/>
          <w:color w:val="000000"/>
          <w:sz w:val="32"/>
          <w:szCs w:val="32"/>
        </w:rPr>
        <w:t>月）</w:t>
      </w:r>
      <w:r>
        <w:rPr>
          <w:rFonts w:hint="eastAsia" w:eastAsia="仿宋_GB2312"/>
          <w:color w:val="000000"/>
          <w:sz w:val="32"/>
          <w:szCs w:val="32"/>
        </w:rPr>
        <w:t>。</w:t>
      </w:r>
    </w:p>
    <w:p>
      <w:pPr>
        <w:spacing w:line="360" w:lineRule="auto"/>
        <w:ind w:firstLine="640" w:firstLineChars="200"/>
        <w:rPr>
          <w:rFonts w:eastAsia="仿宋_GB2312"/>
          <w:color w:val="000000"/>
          <w:sz w:val="32"/>
          <w:szCs w:val="32"/>
        </w:rPr>
      </w:pPr>
      <w:r>
        <w:rPr>
          <w:rFonts w:eastAsia="仿宋_GB2312"/>
          <w:color w:val="000000"/>
          <w:sz w:val="32"/>
          <w:szCs w:val="32"/>
        </w:rPr>
        <w:t>由江西省市场监管局、省标准技术审评中心组织省内相关专家、起草单位等相关人员召开组织标准技术审查会议，根据评审会专家意见，以及网上公示的意见表对标准中存在的问题进行讨论、修改和完善，形成最终定稿等。</w:t>
      </w:r>
      <w:bookmarkStart w:id="5" w:name="_Toc32372"/>
    </w:p>
    <w:p>
      <w:pPr>
        <w:spacing w:line="360" w:lineRule="auto"/>
        <w:ind w:firstLine="643" w:firstLineChars="200"/>
        <w:rPr>
          <w:rFonts w:eastAsia="仿宋_GB2312"/>
          <w:color w:val="000000"/>
          <w:sz w:val="32"/>
          <w:szCs w:val="32"/>
        </w:rPr>
      </w:pPr>
      <w:r>
        <w:rPr>
          <w:rFonts w:hint="eastAsia" w:ascii="黑体" w:hAnsi="黑体" w:eastAsia="黑体"/>
          <w:b/>
          <w:sz w:val="32"/>
          <w:szCs w:val="32"/>
        </w:rPr>
        <w:t>四、编制原则和确定本标准主要内容的论据</w:t>
      </w:r>
      <w:bookmarkEnd w:id="5"/>
    </w:p>
    <w:p>
      <w:pPr>
        <w:pStyle w:val="4"/>
        <w:tabs>
          <w:tab w:val="left" w:pos="9000"/>
        </w:tabs>
        <w:adjustRightInd w:val="0"/>
        <w:snapToGrid w:val="0"/>
        <w:spacing w:line="360" w:lineRule="auto"/>
        <w:ind w:firstLine="643" w:firstLineChars="200"/>
        <w:outlineLvl w:val="2"/>
        <w:rPr>
          <w:rFonts w:ascii="楷体" w:hAnsi="楷体" w:eastAsia="楷体"/>
          <w:b/>
          <w:sz w:val="32"/>
          <w:szCs w:val="32"/>
        </w:rPr>
      </w:pPr>
      <w:bookmarkStart w:id="6" w:name="_Toc20143"/>
      <w:r>
        <w:rPr>
          <w:rFonts w:hint="eastAsia" w:ascii="楷体" w:hAnsi="楷体" w:eastAsia="楷体"/>
          <w:b/>
          <w:sz w:val="32"/>
          <w:szCs w:val="32"/>
        </w:rPr>
        <w:t>（一）本标准的编制原则</w:t>
      </w:r>
      <w:bookmarkEnd w:id="6"/>
    </w:p>
    <w:p>
      <w:pPr>
        <w:widowControl/>
        <w:spacing w:line="360" w:lineRule="auto"/>
        <w:ind w:firstLine="643" w:firstLineChars="200"/>
        <w:outlineLvl w:val="2"/>
        <w:rPr>
          <w:rFonts w:eastAsia="仿宋_GB2312"/>
          <w:b/>
          <w:color w:val="000000"/>
          <w:sz w:val="32"/>
          <w:szCs w:val="32"/>
        </w:rPr>
      </w:pPr>
      <w:bookmarkStart w:id="7" w:name="_Toc14506"/>
      <w:r>
        <w:rPr>
          <w:rFonts w:hint="eastAsia" w:eastAsia="仿宋_GB2312"/>
          <w:b/>
          <w:color w:val="000000"/>
          <w:sz w:val="32"/>
          <w:szCs w:val="32"/>
        </w:rPr>
        <w:t>1.1</w:t>
      </w:r>
      <w:r>
        <w:rPr>
          <w:rFonts w:eastAsia="仿宋_GB2312"/>
          <w:b/>
          <w:color w:val="000000"/>
          <w:sz w:val="32"/>
          <w:szCs w:val="32"/>
        </w:rPr>
        <w:t>科学性</w:t>
      </w:r>
      <w:bookmarkEnd w:id="7"/>
    </w:p>
    <w:p>
      <w:pPr>
        <w:pStyle w:val="14"/>
        <w:spacing w:line="360" w:lineRule="auto"/>
        <w:ind w:firstLine="64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本标准是依据《中华人民共和国标准化法》及相关法规《中华人民共和国环境保护法》、《土壤环境质量标准》（GB 36600--2018）、《城市绿化工程施工及验收规范》（CJJ/T 82-99）和《森林土壤分析方法》（LY/T 1210）、《绿化种植土壤》（CJ/T 340-2016）等相关法律法规，参考国内各省市的标准制定情况，并经过多方调研和查找相关文献和资料，学习国内外最新的园林绿化栽植土质量方面的研究进展，参照了先进城市相关经验，并结合</w:t>
      </w:r>
      <w:r>
        <w:rPr>
          <w:rFonts w:hint="eastAsia" w:ascii="Times New Roman" w:hAnsi="Times New Roman" w:eastAsia="仿宋_GB2312" w:cs="Times New Roman"/>
          <w:color w:val="000000"/>
          <w:sz w:val="32"/>
          <w:szCs w:val="32"/>
        </w:rPr>
        <w:t>江西省</w:t>
      </w:r>
      <w:r>
        <w:rPr>
          <w:rFonts w:ascii="Times New Roman" w:hAnsi="Times New Roman" w:eastAsia="仿宋_GB2312" w:cs="Times New Roman"/>
          <w:color w:val="000000"/>
          <w:sz w:val="32"/>
          <w:szCs w:val="32"/>
        </w:rPr>
        <w:t>具体实际情况而制订。</w:t>
      </w:r>
    </w:p>
    <w:p>
      <w:pPr>
        <w:widowControl/>
        <w:spacing w:line="360" w:lineRule="auto"/>
        <w:ind w:firstLine="643" w:firstLineChars="200"/>
        <w:outlineLvl w:val="2"/>
        <w:rPr>
          <w:rFonts w:eastAsia="仿宋_GB2312"/>
          <w:b/>
          <w:color w:val="000000"/>
          <w:sz w:val="32"/>
          <w:szCs w:val="32"/>
        </w:rPr>
      </w:pPr>
      <w:bookmarkStart w:id="8" w:name="_Toc1450"/>
      <w:r>
        <w:rPr>
          <w:rFonts w:hint="eastAsia" w:eastAsia="仿宋_GB2312"/>
          <w:b/>
          <w:color w:val="000000"/>
          <w:sz w:val="32"/>
          <w:szCs w:val="32"/>
        </w:rPr>
        <w:t>1.2</w:t>
      </w:r>
      <w:r>
        <w:rPr>
          <w:rFonts w:eastAsia="仿宋_GB2312"/>
          <w:b/>
          <w:color w:val="000000"/>
          <w:sz w:val="32"/>
          <w:szCs w:val="32"/>
        </w:rPr>
        <w:t>适用性</w:t>
      </w:r>
      <w:bookmarkEnd w:id="8"/>
    </w:p>
    <w:p>
      <w:pPr>
        <w:widowControl/>
        <w:spacing w:line="360" w:lineRule="auto"/>
        <w:outlineLvl w:val="2"/>
        <w:rPr>
          <w:rFonts w:eastAsia="仿宋_GB2312"/>
          <w:color w:val="000000"/>
          <w:sz w:val="32"/>
          <w:szCs w:val="32"/>
        </w:rPr>
      </w:pPr>
      <w:r>
        <w:rPr>
          <w:rFonts w:eastAsia="仿宋_GB2312"/>
          <w:color w:val="000000"/>
          <w:sz w:val="32"/>
          <w:szCs w:val="32"/>
        </w:rPr>
        <w:t xml:space="preserve">　 本标准的修订为指导全省园林绿化通用种植土、花坛、花境、树坛、草坪、屋顶绿化、容器苗及保护地等不同类型园林绿化用土提供了有效的依据。同时规定了不同类型园林绿化土壤质量的基本指标要求，在本地区适用性较广。 </w:t>
      </w:r>
    </w:p>
    <w:p>
      <w:pPr>
        <w:widowControl/>
        <w:spacing w:line="360" w:lineRule="auto"/>
        <w:ind w:firstLine="643" w:firstLineChars="200"/>
        <w:outlineLvl w:val="2"/>
        <w:rPr>
          <w:rFonts w:eastAsia="仿宋_GB2312"/>
          <w:b/>
          <w:color w:val="000000"/>
          <w:sz w:val="32"/>
          <w:szCs w:val="32"/>
        </w:rPr>
      </w:pPr>
      <w:bookmarkStart w:id="9" w:name="_Toc27906"/>
      <w:r>
        <w:rPr>
          <w:rFonts w:eastAsia="仿宋_GB2312"/>
          <w:b/>
          <w:color w:val="000000"/>
          <w:sz w:val="32"/>
          <w:szCs w:val="32"/>
        </w:rPr>
        <w:t>1.3 可操作性</w:t>
      </w:r>
      <w:bookmarkEnd w:id="9"/>
    </w:p>
    <w:p>
      <w:pPr>
        <w:pStyle w:val="14"/>
        <w:spacing w:line="360" w:lineRule="auto"/>
        <w:ind w:firstLine="64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标准结合了国内外研究现状以及实践经验，同时结合了南昌多年的基础数据，并根据江西园林绿化特点和发展需求进行编修。各项指标采用的技术指标意义明确，与行业标准衔接性高，指标可操作性强，便于推广应用。</w:t>
      </w:r>
      <w:bookmarkStart w:id="10" w:name="_Toc18580"/>
    </w:p>
    <w:p>
      <w:pPr>
        <w:pStyle w:val="14"/>
        <w:spacing w:line="360" w:lineRule="auto"/>
        <w:ind w:firstLine="643"/>
        <w:rPr>
          <w:rFonts w:ascii="Times New Roman" w:hAnsi="Times New Roman" w:eastAsia="仿宋_GB2312" w:cs="Times New Roman"/>
          <w:color w:val="000000"/>
          <w:sz w:val="32"/>
          <w:szCs w:val="32"/>
        </w:rPr>
      </w:pPr>
      <w:r>
        <w:rPr>
          <w:rFonts w:hint="eastAsia" w:ascii="楷体" w:hAnsi="楷体" w:eastAsia="楷体"/>
          <w:b/>
          <w:sz w:val="32"/>
          <w:szCs w:val="32"/>
        </w:rPr>
        <w:t>（二）</w:t>
      </w:r>
      <w:r>
        <w:rPr>
          <w:rFonts w:ascii="楷体" w:hAnsi="楷体" w:eastAsia="楷体"/>
          <w:b/>
          <w:sz w:val="32"/>
          <w:szCs w:val="32"/>
        </w:rPr>
        <w:t>与现行有关法律、法规和强制性标准的关系</w:t>
      </w:r>
      <w:bookmarkEnd w:id="10"/>
    </w:p>
    <w:p>
      <w:pPr>
        <w:widowControl/>
        <w:spacing w:line="360" w:lineRule="auto"/>
        <w:ind w:right="-55" w:rightChars="-26" w:firstLine="640" w:firstLineChars="200"/>
        <w:rPr>
          <w:rFonts w:ascii="仿宋_GB2312" w:eastAsia="仿宋_GB2312"/>
          <w:color w:val="000000"/>
          <w:sz w:val="32"/>
          <w:szCs w:val="32"/>
        </w:rPr>
      </w:pPr>
      <w:r>
        <w:rPr>
          <w:rFonts w:hint="eastAsia" w:ascii="仿宋_GB2312" w:eastAsia="仿宋_GB2312"/>
          <w:color w:val="000000"/>
          <w:sz w:val="32"/>
          <w:szCs w:val="32"/>
        </w:rPr>
        <w:t>编制地方标准《南昌市园林植物栽植土质量》过程主要参照了以下资料：</w:t>
      </w:r>
    </w:p>
    <w:p>
      <w:pPr>
        <w:widowControl/>
        <w:spacing w:line="360" w:lineRule="auto"/>
        <w:ind w:right="-55" w:rightChars="-26" w:firstLine="640" w:firstLineChars="200"/>
        <w:rPr>
          <w:rFonts w:ascii="仿宋_GB2312" w:eastAsia="仿宋_GB2312"/>
          <w:color w:val="000000"/>
          <w:sz w:val="32"/>
          <w:szCs w:val="32"/>
        </w:rPr>
      </w:pPr>
      <w:r>
        <w:rPr>
          <w:rFonts w:hint="eastAsia" w:ascii="仿宋_GB2312" w:eastAsia="仿宋_GB2312"/>
          <w:color w:val="000000"/>
          <w:sz w:val="32"/>
          <w:szCs w:val="32"/>
        </w:rPr>
        <w:t>——《中华人民共和国标准化法》</w:t>
      </w:r>
    </w:p>
    <w:p>
      <w:pPr>
        <w:widowControl/>
        <w:spacing w:line="360" w:lineRule="auto"/>
        <w:ind w:right="-55" w:rightChars="-26" w:firstLine="640" w:firstLineChars="200"/>
        <w:rPr>
          <w:rFonts w:ascii="仿宋_GB2312" w:eastAsia="仿宋_GB2312"/>
          <w:color w:val="000000"/>
          <w:sz w:val="32"/>
          <w:szCs w:val="32"/>
        </w:rPr>
      </w:pPr>
      <w:r>
        <w:rPr>
          <w:rFonts w:hint="eastAsia" w:ascii="仿宋_GB2312" w:eastAsia="仿宋_GB2312"/>
          <w:color w:val="000000"/>
          <w:sz w:val="32"/>
          <w:szCs w:val="32"/>
        </w:rPr>
        <w:t>——《中华人民共和国环境保护法》、</w:t>
      </w:r>
    </w:p>
    <w:p>
      <w:pPr>
        <w:widowControl/>
        <w:spacing w:line="360" w:lineRule="auto"/>
        <w:ind w:right="-55" w:rightChars="-26" w:firstLine="640" w:firstLineChars="200"/>
        <w:rPr>
          <w:rFonts w:ascii="仿宋_GB2312" w:eastAsia="仿宋_GB2312"/>
          <w:color w:val="000000"/>
          <w:sz w:val="32"/>
          <w:szCs w:val="32"/>
        </w:rPr>
      </w:pPr>
      <w:r>
        <w:rPr>
          <w:rFonts w:hint="eastAsia" w:ascii="仿宋_GB2312" w:eastAsia="仿宋_GB2312"/>
          <w:color w:val="000000"/>
          <w:sz w:val="32"/>
          <w:szCs w:val="32"/>
        </w:rPr>
        <w:t>——《土壤环境质量 农用地土壤污染风险管控标准（试行）》</w:t>
      </w:r>
    </w:p>
    <w:p>
      <w:pPr>
        <w:pStyle w:val="14"/>
        <w:spacing w:line="360" w:lineRule="auto"/>
        <w:ind w:firstLine="64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——《土壤环境质量 建设用地土壤污染风险管控标准（试行）》</w:t>
      </w:r>
    </w:p>
    <w:p>
      <w:pPr>
        <w:widowControl/>
        <w:spacing w:line="360" w:lineRule="auto"/>
        <w:ind w:right="-55" w:rightChars="-26" w:firstLine="640" w:firstLineChars="200"/>
        <w:rPr>
          <w:rFonts w:ascii="仿宋_GB2312" w:eastAsia="仿宋_GB2312"/>
          <w:color w:val="000000"/>
          <w:sz w:val="32"/>
          <w:szCs w:val="32"/>
        </w:rPr>
      </w:pPr>
      <w:r>
        <w:rPr>
          <w:rFonts w:hint="eastAsia" w:ascii="仿宋_GB2312" w:eastAsia="仿宋_GB2312"/>
          <w:color w:val="000000"/>
          <w:sz w:val="32"/>
          <w:szCs w:val="32"/>
        </w:rPr>
        <w:t>——《绿化种植土壤》</w:t>
      </w:r>
    </w:p>
    <w:p>
      <w:pPr>
        <w:pStyle w:val="14"/>
        <w:spacing w:line="360" w:lineRule="auto"/>
        <w:ind w:firstLine="64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——《城市绿化工程施工及验收规范》</w:t>
      </w:r>
    </w:p>
    <w:p>
      <w:pPr>
        <w:pStyle w:val="14"/>
        <w:spacing w:line="360" w:lineRule="auto"/>
        <w:ind w:firstLine="64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——《森林土壤分析方法》</w:t>
      </w:r>
    </w:p>
    <w:p>
      <w:pPr>
        <w:pStyle w:val="14"/>
        <w:spacing w:line="360" w:lineRule="auto"/>
        <w:ind w:firstLine="640"/>
        <w:rPr>
          <w:rFonts w:ascii="仿宋_GB2312" w:eastAsia="仿宋_GB2312"/>
          <w:color w:val="000000"/>
          <w:sz w:val="32"/>
          <w:szCs w:val="32"/>
        </w:rPr>
      </w:pPr>
      <w:r>
        <w:rPr>
          <w:rFonts w:hint="eastAsia" w:ascii="仿宋_GB2312" w:eastAsia="仿宋_GB2312"/>
          <w:color w:val="000000"/>
          <w:sz w:val="32"/>
          <w:szCs w:val="32"/>
        </w:rPr>
        <w:t>与现行有关法律、法规和强制性标准没有矛盾。</w:t>
      </w:r>
    </w:p>
    <w:p>
      <w:pPr>
        <w:pStyle w:val="4"/>
        <w:tabs>
          <w:tab w:val="left" w:pos="9000"/>
        </w:tabs>
        <w:adjustRightInd w:val="0"/>
        <w:snapToGrid w:val="0"/>
        <w:spacing w:line="360" w:lineRule="auto"/>
        <w:ind w:firstLine="643" w:firstLineChars="200"/>
        <w:outlineLvl w:val="2"/>
        <w:rPr>
          <w:rFonts w:ascii="楷体" w:hAnsi="楷体" w:eastAsia="楷体"/>
          <w:b/>
          <w:sz w:val="32"/>
          <w:szCs w:val="32"/>
        </w:rPr>
      </w:pPr>
      <w:r>
        <w:rPr>
          <w:rFonts w:hint="eastAsia" w:ascii="楷体" w:hAnsi="楷体" w:eastAsia="楷体"/>
          <w:b/>
          <w:sz w:val="32"/>
          <w:szCs w:val="32"/>
        </w:rPr>
        <w:t>（三）作为推荐性标准的建议</w:t>
      </w:r>
    </w:p>
    <w:p>
      <w:pPr>
        <w:pStyle w:val="14"/>
        <w:spacing w:line="360" w:lineRule="auto"/>
        <w:ind w:firstLine="640"/>
        <w:rPr>
          <w:rFonts w:ascii="仿宋_GB2312" w:eastAsia="仿宋_GB2312"/>
          <w:color w:val="000000"/>
          <w:sz w:val="32"/>
          <w:szCs w:val="32"/>
        </w:rPr>
      </w:pPr>
      <w:r>
        <w:rPr>
          <w:rFonts w:hint="eastAsia" w:ascii="仿宋_GB2312" w:eastAsia="仿宋_GB2312"/>
          <w:color w:val="000000"/>
          <w:sz w:val="32"/>
          <w:szCs w:val="32"/>
        </w:rPr>
        <w:t>建议《园林植物栽植土质量要求》作为推荐性标准发布实施。</w:t>
      </w:r>
    </w:p>
    <w:p>
      <w:pPr>
        <w:pStyle w:val="4"/>
        <w:tabs>
          <w:tab w:val="left" w:pos="9000"/>
        </w:tabs>
        <w:adjustRightInd w:val="0"/>
        <w:snapToGrid w:val="0"/>
        <w:spacing w:line="360" w:lineRule="auto"/>
        <w:ind w:firstLine="643" w:firstLineChars="200"/>
        <w:outlineLvl w:val="2"/>
        <w:rPr>
          <w:rFonts w:ascii="楷体" w:hAnsi="楷体" w:eastAsia="楷体"/>
          <w:b/>
          <w:sz w:val="32"/>
          <w:szCs w:val="32"/>
        </w:rPr>
      </w:pPr>
      <w:r>
        <w:rPr>
          <w:rFonts w:hint="eastAsia" w:ascii="楷体" w:hAnsi="楷体" w:eastAsia="楷体"/>
          <w:b/>
          <w:sz w:val="32"/>
          <w:szCs w:val="32"/>
        </w:rPr>
        <w:t>（四）贯彻标准的措施建议和</w:t>
      </w:r>
      <w:r>
        <w:rPr>
          <w:rFonts w:ascii="楷体" w:hAnsi="楷体" w:eastAsia="楷体"/>
          <w:b/>
          <w:sz w:val="32"/>
          <w:szCs w:val="32"/>
        </w:rPr>
        <w:t>预期效果</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对标准进行广泛宣传，包括举行土壤知识讲座、培训等，使建设单位、施工单位以及相关部门专业人员逐步理解标准和掌握使用标准；按标准对南昌市现有城市绿地土壤进行普查摸底和分析评价，找出存在问题，提出改良意见与措施，并按计划逐步整改；按标准对全市新建绿地土壤质量进行监测、检测和评价，对存在问题的项目提出改良意见和措施，指导和监督建设单位进行整改。加强绿地土壤的检测评估，加快制定相关标准，实施土壤分类管理。</w:t>
      </w:r>
    </w:p>
    <w:p>
      <w:pPr>
        <w:pStyle w:val="4"/>
        <w:tabs>
          <w:tab w:val="left" w:pos="9000"/>
        </w:tabs>
        <w:adjustRightInd w:val="0"/>
        <w:snapToGrid w:val="0"/>
        <w:spacing w:line="360" w:lineRule="auto"/>
        <w:ind w:firstLine="640" w:firstLineChars="200"/>
        <w:rPr>
          <w:rFonts w:ascii="仿宋_GB2312" w:hAnsi="Times New Roman" w:eastAsia="仿宋_GB2312"/>
          <w:sz w:val="32"/>
          <w:szCs w:val="32"/>
        </w:rPr>
      </w:pPr>
      <w:r>
        <w:rPr>
          <w:rFonts w:hint="eastAsia" w:ascii="仿宋_GB2312" w:hAnsi="Times New Roman" w:eastAsia="仿宋_GB2312"/>
          <w:sz w:val="32"/>
          <w:szCs w:val="32"/>
        </w:rPr>
        <w:t>标准的制定、发布和实施，将使我省城市绿地土壤质量的标准化、规范化；该新修订标准的实施将对今后园林绿化行业进一步规范管理打下扎实的基础，将更有利于本市园林行业精细化管理的落实和绿地土壤质量的提高。可为城市绿地不同植被的土壤质量提供指导与参考，对达不到质量标准的土壤进行针对性改良，可以规范园林绿化设计、施工及管养中对于园林栽植土的质量要求，从而保障园林植物具有良好生长介质条件，全面提高园林植物栽植和养护水平，促进园林植物生长繁茂，充分发挥园林植物的绿化效能。</w:t>
      </w:r>
    </w:p>
    <w:p>
      <w:pPr>
        <w:pStyle w:val="4"/>
        <w:tabs>
          <w:tab w:val="left" w:pos="9000"/>
        </w:tabs>
        <w:adjustRightInd w:val="0"/>
        <w:snapToGrid w:val="0"/>
        <w:spacing w:beforeLines="50" w:line="360" w:lineRule="auto"/>
        <w:ind w:firstLine="643" w:firstLineChars="200"/>
        <w:outlineLvl w:val="2"/>
        <w:rPr>
          <w:rFonts w:ascii="黑体" w:hAnsi="黑体" w:eastAsia="黑体"/>
          <w:b/>
          <w:sz w:val="32"/>
          <w:szCs w:val="32"/>
        </w:rPr>
      </w:pPr>
      <w:bookmarkStart w:id="11" w:name="_Toc15965"/>
      <w:r>
        <w:rPr>
          <w:rFonts w:hint="eastAsia" w:ascii="黑体" w:hAnsi="黑体" w:eastAsia="黑体"/>
          <w:b/>
          <w:sz w:val="32"/>
          <w:szCs w:val="32"/>
        </w:rPr>
        <w:t>五、主要修订内容和修订</w:t>
      </w:r>
      <w:bookmarkEnd w:id="11"/>
      <w:r>
        <w:rPr>
          <w:rFonts w:hint="eastAsia" w:ascii="黑体" w:hAnsi="黑体" w:eastAsia="黑体"/>
          <w:b/>
          <w:sz w:val="32"/>
          <w:szCs w:val="32"/>
        </w:rPr>
        <w:t>理由</w:t>
      </w:r>
    </w:p>
    <w:p>
      <w:pPr>
        <w:pStyle w:val="4"/>
        <w:tabs>
          <w:tab w:val="left" w:pos="9000"/>
        </w:tabs>
        <w:adjustRightInd w:val="0"/>
        <w:snapToGrid w:val="0"/>
        <w:spacing w:line="360" w:lineRule="auto"/>
        <w:ind w:firstLine="643" w:firstLineChars="200"/>
        <w:outlineLvl w:val="2"/>
        <w:rPr>
          <w:rFonts w:ascii="仿宋_GB2312" w:hAnsi="Times New Roman" w:eastAsia="仿宋_GB2312"/>
          <w:b/>
          <w:sz w:val="32"/>
          <w:szCs w:val="32"/>
        </w:rPr>
      </w:pPr>
      <w:r>
        <w:rPr>
          <w:rFonts w:hint="eastAsia" w:ascii="仿宋_GB2312" w:hAnsi="Times New Roman" w:eastAsia="仿宋_GB2312"/>
          <w:b/>
          <w:sz w:val="32"/>
          <w:szCs w:val="32"/>
        </w:rPr>
        <w:t>5.0 修订原标准名称：南昌市园林植物栽植土质量。</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修订为：园林植物栽植土质量要求。</w:t>
      </w:r>
    </w:p>
    <w:p>
      <w:pPr>
        <w:pStyle w:val="16"/>
        <w:numPr>
          <w:ilvl w:val="0"/>
          <w:numId w:val="0"/>
        </w:numPr>
        <w:spacing w:beforeLines="0" w:afterLines="0" w:line="360" w:lineRule="auto"/>
        <w:ind w:firstLine="640" w:firstLineChars="200"/>
        <w:rPr>
          <w:rFonts w:ascii="仿宋_GB2312" w:eastAsia="仿宋_GB2312"/>
          <w:sz w:val="32"/>
          <w:szCs w:val="32"/>
        </w:rPr>
      </w:pPr>
      <w:r>
        <w:rPr>
          <w:rFonts w:hint="eastAsia" w:ascii="仿宋_GB2312" w:eastAsia="仿宋_GB2312"/>
          <w:sz w:val="32"/>
          <w:szCs w:val="32"/>
        </w:rPr>
        <w:t>修订理由：《南昌市园林植物栽植土质量》DB36/T 585-2010）属于省级地方标准，可在全省范围内推荐使用，删除南昌市。同时，本标准根据不同栽植土用途制定了要求，分为有效土层厚度要求、主控指标技术要求及理化指标技术要求，故将其更名为质量要求较贴切。</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城市绿地栽植土壤主要取自当地红壤资源。江西是我国亚热带红壤集中分布的主要地区，成土母质类型以泥质岩类、酸性结晶盐类和石英岩类风化物为主，土壤类型以红壤和水稻土为主，土壤本身偏中性和酸性，对酸性缓冲能力弱。红壤面积有1053万h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，占全省总面积的70％，其中红壤丘陵区占 90％以上。张晗等人利用 1985年江西省第二次土壤普查数据 和 2012年测土配方施肥项目采集的大量耕层（0- 25 cm)土壤样点数据，分析了江西省丘陵区土壤近30年土壤全氮、全磷、全钾、有机质和酸碱度5种养分要素的时空变异特征，结果表明，研究区耕作土壤养分有升有降，以升为主。除全氮和有机质的变异系数增大外，其他养分的变异系数都有所减小，说明江西省土壤养分总体上呈现中等强度的空间分异规律，且随着耕作制度、施肥方式和田间管理措施等人为因素的影响，土壤养分的空间变异特征表现为逐渐减弱的趋势。30年来江西省土壤全氮、全磷和有机质总体含量都有较为显著的提升，但是全钾含量有所降低，且土壤pH值呈现出弱酸化的趋势。</w:t>
      </w:r>
    </w:p>
    <w:p>
      <w:pPr>
        <w:widowControl/>
        <w:spacing w:line="360" w:lineRule="auto"/>
        <w:ind w:firstLine="643" w:firstLineChars="200"/>
        <w:outlineLvl w:val="2"/>
        <w:rPr>
          <w:rFonts w:ascii="仿宋_GB2312" w:eastAsia="仿宋_GB2312"/>
          <w:b/>
          <w:sz w:val="32"/>
          <w:szCs w:val="32"/>
        </w:rPr>
      </w:pPr>
      <w:r>
        <w:rPr>
          <w:rFonts w:hint="eastAsia" w:ascii="仿宋_GB2312" w:eastAsia="仿宋_GB2312"/>
          <w:b/>
          <w:sz w:val="32"/>
          <w:szCs w:val="32"/>
        </w:rPr>
        <w:t>5.1修订原标准前言</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 xml:space="preserve">5.1.1原标准：本标准按照GB/T 1.1-2009给出的规则起草。 </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修订为：本标准按照GB/T 1.1-2020《标准化工作导则  第1部分：标准化文件的结构和起草规则》给出的规则起草。</w:t>
      </w:r>
    </w:p>
    <w:p>
      <w:pPr>
        <w:widowControl/>
        <w:spacing w:line="360" w:lineRule="auto"/>
        <w:ind w:firstLine="640" w:firstLineChars="200"/>
        <w:rPr>
          <w:rFonts w:ascii="仿宋_GB2312" w:eastAsia="仿宋_GB2312"/>
          <w:sz w:val="32"/>
          <w:szCs w:val="32"/>
        </w:rPr>
      </w:pPr>
      <w:r>
        <w:rPr>
          <w:rFonts w:hint="eastAsia" w:ascii="仿宋_GB2312" w:eastAsia="仿宋_GB2312"/>
          <w:sz w:val="32"/>
          <w:szCs w:val="32"/>
        </w:rPr>
        <w:t>修订理由：GB/T 1.1-2009标准化工作导则《第1部分：标准的结构和编写》已作废，被</w:t>
      </w:r>
      <w:r>
        <w:fldChar w:fldCharType="begin"/>
      </w:r>
      <w:r>
        <w:instrText xml:space="preserve"> HYPERLINK "http://www.csres.com/detail/343503.html" \t "_blank" </w:instrText>
      </w:r>
      <w:r>
        <w:fldChar w:fldCharType="separate"/>
      </w:r>
      <w:r>
        <w:rPr>
          <w:rFonts w:hint="eastAsia" w:ascii="仿宋_GB2312" w:eastAsia="仿宋_GB2312"/>
          <w:sz w:val="32"/>
          <w:szCs w:val="32"/>
        </w:rPr>
        <w:t>GB/T 1.1-2020</w:t>
      </w:r>
      <w:r>
        <w:rPr>
          <w:rFonts w:hint="eastAsia" w:ascii="仿宋_GB2312" w:eastAsia="仿宋_GB2312"/>
          <w:sz w:val="32"/>
          <w:szCs w:val="32"/>
        </w:rPr>
        <w:fldChar w:fldCharType="end"/>
      </w:r>
      <w:r>
        <w:rPr>
          <w:rFonts w:hint="eastAsia" w:ascii="仿宋_GB2312" w:eastAsia="仿宋_GB2312"/>
          <w:sz w:val="32"/>
          <w:szCs w:val="32"/>
        </w:rPr>
        <w:t>标准化工作导则《第1部分：标准化文件的结构和起草规则》代替。</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5.1.2原标准：本标准由南昌市质量技术监督局提出。</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修订为：本标准由南昌市市场监管局提出。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修订理由：单位名称变更。</w:t>
      </w:r>
    </w:p>
    <w:p>
      <w:pPr>
        <w:widowControl/>
        <w:spacing w:line="360" w:lineRule="auto"/>
        <w:rPr>
          <w:rFonts w:ascii="仿宋_GB2312" w:eastAsia="仿宋_GB2312"/>
          <w:b/>
          <w:sz w:val="32"/>
          <w:szCs w:val="32"/>
        </w:rPr>
      </w:pPr>
      <w:r>
        <w:rPr>
          <w:rFonts w:hint="eastAsia" w:ascii="仿宋_GB2312" w:eastAsia="仿宋_GB2312"/>
          <w:b/>
          <w:sz w:val="32"/>
          <w:szCs w:val="32"/>
        </w:rPr>
        <w:t>5.1.3原标准：本标准起草单位：南昌市园林绿化局、南昌高新技术开发区质量技术监督分局。本标准由南昌市园林绿化局负责解释。</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修订为：本标准起草单位:南昌市园林绿化服务中心。本标准由南昌市园林绿化服务中心负责解释。</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修订理由：因事业单位改革。</w:t>
      </w:r>
    </w:p>
    <w:p>
      <w:pPr>
        <w:spacing w:line="360" w:lineRule="auto"/>
        <w:ind w:firstLine="200"/>
        <w:rPr>
          <w:rFonts w:ascii="仿宋_GB2312" w:eastAsia="仿宋_GB2312"/>
          <w:b/>
          <w:sz w:val="32"/>
          <w:szCs w:val="32"/>
        </w:rPr>
      </w:pPr>
      <w:r>
        <w:rPr>
          <w:rFonts w:hint="eastAsia" w:ascii="仿宋_GB2312" w:eastAsia="仿宋_GB2312"/>
          <w:b/>
          <w:sz w:val="32"/>
          <w:szCs w:val="32"/>
        </w:rPr>
        <w:t>5.2 修订范围</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原标准：本标准规定了南昌市园林植物栽植土质量的术语和定义。本标准适用于南昌市园林植物栽植土质量要求。</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修订为：本标准规定了园林植物栽植土质量的术语和定义。本标准适用于一般绿化栽植土壤。</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修订理由：园林植物栽植土质量定义参考《绿化种植土壤》现行行业标准，具有广泛适用性，同时本标准在地域上的应用范围为江西省。</w:t>
      </w:r>
    </w:p>
    <w:p>
      <w:pPr>
        <w:spacing w:line="360" w:lineRule="auto"/>
        <w:ind w:firstLine="200"/>
        <w:rPr>
          <w:rFonts w:ascii="仿宋_GB2312" w:eastAsia="仿宋_GB2312"/>
          <w:b/>
          <w:sz w:val="32"/>
          <w:szCs w:val="32"/>
        </w:rPr>
      </w:pPr>
      <w:r>
        <w:rPr>
          <w:rFonts w:hint="eastAsia" w:ascii="仿宋_GB2312" w:eastAsia="仿宋_GB2312"/>
          <w:b/>
          <w:sz w:val="32"/>
          <w:szCs w:val="32"/>
        </w:rPr>
        <w:t>5.3 修订3.7 条款</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原标准：适宜园林植物在设施环境下生长的土壤。</w:t>
      </w:r>
    </w:p>
    <w:p>
      <w:pPr>
        <w:pStyle w:val="14"/>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修订为：适宜园林植物在玻璃温室、塑料大棚等设施条件下生长的土壤。</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修订理由：原定义不够详细。</w:t>
      </w:r>
    </w:p>
    <w:p>
      <w:pPr>
        <w:spacing w:line="360" w:lineRule="auto"/>
        <w:ind w:firstLine="200"/>
        <w:rPr>
          <w:rFonts w:ascii="仿宋_GB2312" w:eastAsia="仿宋_GB2312"/>
          <w:b/>
          <w:sz w:val="32"/>
          <w:szCs w:val="32"/>
        </w:rPr>
      </w:pPr>
      <w:r>
        <w:rPr>
          <w:rFonts w:hint="eastAsia" w:ascii="仿宋_GB2312" w:eastAsia="仿宋_GB2312"/>
          <w:b/>
          <w:sz w:val="32"/>
          <w:szCs w:val="32"/>
        </w:rPr>
        <w:t>5.4 增加条款3.9-3.23术语和定义</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原标准：未设置客土、土壤pH值、土壤水溶性盐含量、土壤有机质、水解性氮、有效磷、速效钾、石灰反应、阳离子交换量、容重、有效土层、总孔隙度、质地及入渗率这14项术语的定义。</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为了加强与本标准技术要求的有效衔接，新增了客土、土壤pH值、土壤水溶性盐含量、土壤有机质、水解性氮、有效磷、速效钾、石灰反应、阳离子交换量、容重、有效土层、石砾、总孔隙度、质地及入渗率这些术语的定义。</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3.9 客土 soils from other places</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非当地原生的、由别处移来的外来土壤。</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3.10土壤酸碱度 soil acidity and alkalinity</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土壤的酸碱性，用氢离子活度的负对数值表示，即pH值 = -log[H</w:t>
      </w:r>
      <w:r>
        <w:rPr>
          <w:rFonts w:hint="eastAsia" w:ascii="仿宋_GB2312" w:hAnsi="Times New Roman" w:eastAsia="仿宋_GB2312"/>
          <w:sz w:val="32"/>
          <w:szCs w:val="32"/>
          <w:vertAlign w:val="superscript"/>
        </w:rPr>
        <w:t>+</w:t>
      </w:r>
      <w:r>
        <w:rPr>
          <w:rFonts w:hint="eastAsia" w:ascii="仿宋_GB2312" w:hAnsi="Times New Roman" w:eastAsia="仿宋_GB2312"/>
          <w:sz w:val="32"/>
          <w:szCs w:val="32"/>
        </w:rPr>
        <w:t>]。pH&lt;4.5为强酸性；在4.5～5.5之间为酸性；在5.5～6.5之间为微酸性；在6.5～7.5之间为中性；在7.5～8.5之间为碱性；&gt;8.5为强碱性。</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3.11土壤水溶性盐含量 soil water-soluble salts</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土壤中水溶性盐分的总量，检测方法主要分质量法和电导法，质量法单位为克每千克（g/kg）；电导法直接用电导率即EC值表示，单位为毫西门子每厘米（mS/cm）。</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 xml:space="preserve"> 3.12土壤有机质 soil organic matter</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土壤中所有含碳的有机物质，包括动物、植物残体、微生物体及其分解和合成的有机物质总量，单位为克/千克（g/kg）。</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3.13土壤水解性氮 hydrolyzable nitrogen</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土壤中较易矿化和被植物吸收的氮，又称土壤有效氮，包括无机的矿物态氮（铵态氮、硝态氮）和易水解的有机态氮（氨基酸、酰胺和易水解的蛋白质氮），单位为毫克每千克（mg/kg）。</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3.14有效磷 available phosphorus</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土壤中可被植物吸收的磷，一般包括土壤溶液中的离子态磷酸根，以及一些易溶的无机磷化合物和吸附态磷，单位为毫克/千克（mg/kg）。</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3.15速效钾available potassium</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易被植物吸收利用的钾，包括交换性钾和水溶性钾，单位为毫克/千克（mg/kg）。</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3.16石灰反应lime reaction</w:t>
      </w:r>
    </w:p>
    <w:p>
      <w:pPr>
        <w:pStyle w:val="23"/>
        <w:ind w:firstLine="624" w:firstLineChars="195"/>
        <w:rPr>
          <w:rFonts w:ascii="仿宋_GB2312" w:eastAsia="仿宋_GB2312"/>
          <w:sz w:val="32"/>
          <w:szCs w:val="32"/>
        </w:rPr>
      </w:pPr>
      <w:r>
        <w:rPr>
          <w:rFonts w:hint="eastAsia" w:ascii="仿宋_GB2312" w:eastAsia="仿宋_GB2312"/>
          <w:sz w:val="32"/>
          <w:szCs w:val="32"/>
        </w:rPr>
        <w:t>指土壤中的碳酸钙与盐酸作用产生二氧化碳，根据二氧化碳在一定气温和气压下密度，计算二氧化碳的质量，并换算为碳酸钙的质量，单位为克/千克（g/kg）。</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3.17阳离子交换量 cation exchange capacity</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每千克土壤或胶体，吸附或代换周围溶液中的阳离子的厘摩尔数，单位为厘摩尔每千克[cmol(+)/kg]。</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3.18容重 soil bulk density</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单位容积土壤的质量，单位为兆克每立方米（Mg/m</w:t>
      </w:r>
      <w:r>
        <w:rPr>
          <w:rFonts w:hint="eastAsia" w:ascii="仿宋_GB2312" w:hAnsi="Times New Roman" w:eastAsia="仿宋_GB2312"/>
          <w:sz w:val="32"/>
          <w:szCs w:val="32"/>
          <w:vertAlign w:val="superscript"/>
        </w:rPr>
        <w:t>3</w:t>
      </w:r>
      <w:r>
        <w:rPr>
          <w:rFonts w:hint="eastAsia" w:ascii="仿宋_GB2312" w:hAnsi="Times New Roman" w:eastAsia="仿宋_GB2312"/>
          <w:sz w:val="32"/>
          <w:szCs w:val="32"/>
        </w:rPr>
        <w:t>）或克每立方厘米(g/cm</w:t>
      </w:r>
      <w:r>
        <w:rPr>
          <w:rFonts w:hint="eastAsia" w:ascii="仿宋_GB2312" w:hAnsi="Times New Roman" w:eastAsia="仿宋_GB2312"/>
          <w:sz w:val="32"/>
          <w:szCs w:val="32"/>
          <w:vertAlign w:val="superscript"/>
        </w:rPr>
        <w:t>3</w:t>
      </w:r>
      <w:r>
        <w:rPr>
          <w:rFonts w:hint="eastAsia" w:ascii="仿宋_GB2312" w:hAnsi="Times New Roman" w:eastAsia="仿宋_GB2312"/>
          <w:sz w:val="32"/>
          <w:szCs w:val="32"/>
        </w:rPr>
        <w:t>)。</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3.19总孔隙度 soil porosity;</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指土壤中孔隙占土壤总体积的百分率。</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3.20有效土层 effective soil layer</w:t>
      </w:r>
    </w:p>
    <w:p>
      <w:pPr>
        <w:pStyle w:val="23"/>
        <w:ind w:firstLine="624" w:firstLineChars="195"/>
        <w:rPr>
          <w:rFonts w:ascii="仿宋_GB2312" w:eastAsia="仿宋_GB2312"/>
          <w:sz w:val="32"/>
          <w:szCs w:val="32"/>
        </w:rPr>
      </w:pPr>
      <w:r>
        <w:rPr>
          <w:rFonts w:hint="eastAsia" w:ascii="仿宋_GB2312" w:eastAsia="仿宋_GB2312"/>
          <w:sz w:val="32"/>
          <w:szCs w:val="32"/>
        </w:rPr>
        <w:t>能满足植物根系正常生长发育所需的土壤厚度，单位为米（m）。当有障碍层时，为障碍层以上的土壤厚度。</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3.21石砾 gravel</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有效粒径大于2 mm的石粒。</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3.22质地 soil texture</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土壤中不同粗细的土粒（黏粒、粉粒、砂粒）组成比例的综合度量。</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注：通常有砂土、壤土和黏土3种类型。</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3.23入渗率 soil infiltration rate</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土壤水饱和或近饱和条件下单位时间内通过土壤截面向下渗漏的水量，又称土壤渗透速率。用饱和导水率（K fs）来表示，单位为毫米每小时（mm/h）。</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修订理由：参考《绿化种植土壤》（CJ/T 340-2016）行业标准及相关园林绿化栽植土壤质量要求的地方标准。</w:t>
      </w:r>
    </w:p>
    <w:p>
      <w:pPr>
        <w:pStyle w:val="4"/>
        <w:tabs>
          <w:tab w:val="left" w:pos="9000"/>
        </w:tabs>
        <w:adjustRightInd w:val="0"/>
        <w:snapToGrid w:val="0"/>
        <w:spacing w:line="360" w:lineRule="auto"/>
        <w:ind w:firstLine="643" w:firstLineChars="200"/>
        <w:outlineLvl w:val="2"/>
        <w:rPr>
          <w:rFonts w:ascii="仿宋_GB2312" w:hAnsi="Times New Roman" w:eastAsia="仿宋_GB2312"/>
          <w:b/>
          <w:sz w:val="32"/>
          <w:szCs w:val="32"/>
        </w:rPr>
      </w:pPr>
      <w:r>
        <w:rPr>
          <w:rFonts w:hint="eastAsia" w:ascii="仿宋_GB2312" w:hAnsi="Times New Roman" w:eastAsia="仿宋_GB2312"/>
          <w:b/>
          <w:sz w:val="32"/>
          <w:szCs w:val="32"/>
        </w:rPr>
        <w:t>5.5 修订原标准4 分类</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根据园林植物栽植土的用途可以分成:</w:t>
      </w:r>
      <w:r>
        <w:rPr>
          <w:rFonts w:ascii="仿宋_GB2312" w:hAnsi="Times New Roman" w:eastAsia="仿宋_GB2312"/>
          <w:sz w:val="32"/>
          <w:szCs w:val="32"/>
        </w:rPr>
        <w:t xml:space="preserve"> </w:t>
      </w:r>
      <w:r>
        <w:rPr>
          <w:rFonts w:hint="eastAsia" w:ascii="仿宋_GB2312" w:hAnsi="Times New Roman" w:eastAsia="仿宋_GB2312"/>
          <w:sz w:val="32"/>
          <w:szCs w:val="32"/>
        </w:rPr>
        <w:t>通用栽</w:t>
      </w:r>
      <w:r>
        <w:rPr>
          <w:rFonts w:ascii="仿宋_GB2312" w:hAnsi="Times New Roman" w:eastAsia="仿宋_GB2312"/>
          <w:sz w:val="32"/>
          <w:szCs w:val="32"/>
        </w:rPr>
        <w:t>植土、草坪土、花坛土</w:t>
      </w:r>
      <w:r>
        <w:rPr>
          <w:rFonts w:hint="eastAsia" w:ascii="仿宋_GB2312" w:hAnsi="Times New Roman" w:eastAsia="仿宋_GB2312"/>
          <w:sz w:val="32"/>
          <w:szCs w:val="32"/>
        </w:rPr>
        <w:t>（花境土）</w:t>
      </w:r>
      <w:r>
        <w:rPr>
          <w:rFonts w:ascii="仿宋_GB2312" w:hAnsi="Times New Roman" w:eastAsia="仿宋_GB2312"/>
          <w:sz w:val="32"/>
          <w:szCs w:val="32"/>
        </w:rPr>
        <w:t>、树坛土、容器</w:t>
      </w:r>
      <w:r>
        <w:rPr>
          <w:rFonts w:hint="eastAsia" w:ascii="仿宋_GB2312" w:hAnsi="Times New Roman" w:eastAsia="仿宋_GB2312"/>
          <w:sz w:val="32"/>
          <w:szCs w:val="32"/>
        </w:rPr>
        <w:t>栽</w:t>
      </w:r>
      <w:r>
        <w:rPr>
          <w:rFonts w:ascii="仿宋_GB2312" w:hAnsi="Times New Roman" w:eastAsia="仿宋_GB2312"/>
          <w:sz w:val="32"/>
          <w:szCs w:val="32"/>
        </w:rPr>
        <w:t>植土、保护地</w:t>
      </w:r>
      <w:r>
        <w:rPr>
          <w:rFonts w:hint="eastAsia" w:ascii="仿宋_GB2312" w:hAnsi="Times New Roman" w:eastAsia="仿宋_GB2312"/>
          <w:sz w:val="32"/>
          <w:szCs w:val="32"/>
        </w:rPr>
        <w:t>栽</w:t>
      </w:r>
      <w:r>
        <w:rPr>
          <w:rFonts w:ascii="仿宋_GB2312" w:hAnsi="Times New Roman" w:eastAsia="仿宋_GB2312"/>
          <w:sz w:val="32"/>
          <w:szCs w:val="32"/>
        </w:rPr>
        <w:t>植土和屋顶</w:t>
      </w:r>
      <w:r>
        <w:rPr>
          <w:rFonts w:hint="eastAsia" w:ascii="仿宋_GB2312" w:hAnsi="Times New Roman" w:eastAsia="仿宋_GB2312"/>
          <w:sz w:val="32"/>
          <w:szCs w:val="32"/>
        </w:rPr>
        <w:t>栽</w:t>
      </w:r>
      <w:r>
        <w:rPr>
          <w:rFonts w:ascii="仿宋_GB2312" w:hAnsi="Times New Roman" w:eastAsia="仿宋_GB2312"/>
          <w:sz w:val="32"/>
          <w:szCs w:val="32"/>
        </w:rPr>
        <w:t>植土</w:t>
      </w:r>
      <w:r>
        <w:rPr>
          <w:rFonts w:hint="eastAsia" w:ascii="仿宋_GB2312" w:hAnsi="Times New Roman" w:eastAsia="仿宋_GB2312"/>
          <w:sz w:val="32"/>
          <w:szCs w:val="32"/>
        </w:rPr>
        <w:t>。</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修订理由：园林植物栽植土的用途很广泛。</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修订为：根据园林植物栽植土的用途可以分成:</w:t>
      </w:r>
      <w:r>
        <w:rPr>
          <w:rFonts w:ascii="仿宋_GB2312" w:hAnsi="Times New Roman" w:eastAsia="仿宋_GB2312"/>
          <w:sz w:val="32"/>
          <w:szCs w:val="32"/>
        </w:rPr>
        <w:t xml:space="preserve"> </w:t>
      </w:r>
      <w:r>
        <w:rPr>
          <w:rFonts w:hint="eastAsia" w:ascii="仿宋_GB2312" w:hAnsi="Times New Roman" w:eastAsia="仿宋_GB2312"/>
          <w:sz w:val="32"/>
          <w:szCs w:val="32"/>
        </w:rPr>
        <w:t>通用栽</w:t>
      </w:r>
      <w:r>
        <w:rPr>
          <w:rFonts w:ascii="仿宋_GB2312" w:hAnsi="Times New Roman" w:eastAsia="仿宋_GB2312"/>
          <w:sz w:val="32"/>
          <w:szCs w:val="32"/>
        </w:rPr>
        <w:t>植土、草坪土、花坛土</w:t>
      </w:r>
      <w:r>
        <w:rPr>
          <w:rFonts w:hint="eastAsia" w:ascii="仿宋_GB2312" w:hAnsi="Times New Roman" w:eastAsia="仿宋_GB2312"/>
          <w:sz w:val="32"/>
          <w:szCs w:val="32"/>
        </w:rPr>
        <w:t>（花境土）</w:t>
      </w:r>
      <w:r>
        <w:rPr>
          <w:rFonts w:ascii="仿宋_GB2312" w:hAnsi="Times New Roman" w:eastAsia="仿宋_GB2312"/>
          <w:sz w:val="32"/>
          <w:szCs w:val="32"/>
        </w:rPr>
        <w:t>、树坛土、容器</w:t>
      </w:r>
      <w:r>
        <w:rPr>
          <w:rFonts w:hint="eastAsia" w:ascii="仿宋_GB2312" w:hAnsi="Times New Roman" w:eastAsia="仿宋_GB2312"/>
          <w:sz w:val="32"/>
          <w:szCs w:val="32"/>
        </w:rPr>
        <w:t>栽</w:t>
      </w:r>
      <w:r>
        <w:rPr>
          <w:rFonts w:ascii="仿宋_GB2312" w:hAnsi="Times New Roman" w:eastAsia="仿宋_GB2312"/>
          <w:sz w:val="32"/>
          <w:szCs w:val="32"/>
        </w:rPr>
        <w:t>植土、保护地</w:t>
      </w:r>
      <w:r>
        <w:rPr>
          <w:rFonts w:hint="eastAsia" w:ascii="仿宋_GB2312" w:hAnsi="Times New Roman" w:eastAsia="仿宋_GB2312"/>
          <w:sz w:val="32"/>
          <w:szCs w:val="32"/>
        </w:rPr>
        <w:t>栽</w:t>
      </w:r>
      <w:r>
        <w:rPr>
          <w:rFonts w:ascii="仿宋_GB2312" w:hAnsi="Times New Roman" w:eastAsia="仿宋_GB2312"/>
          <w:sz w:val="32"/>
          <w:szCs w:val="32"/>
        </w:rPr>
        <w:t>植土和屋顶</w:t>
      </w:r>
      <w:r>
        <w:rPr>
          <w:rFonts w:hint="eastAsia" w:ascii="仿宋_GB2312" w:hAnsi="Times New Roman" w:eastAsia="仿宋_GB2312"/>
          <w:sz w:val="32"/>
          <w:szCs w:val="32"/>
        </w:rPr>
        <w:t>栽</w:t>
      </w:r>
      <w:r>
        <w:rPr>
          <w:rFonts w:ascii="仿宋_GB2312" w:hAnsi="Times New Roman" w:eastAsia="仿宋_GB2312"/>
          <w:sz w:val="32"/>
          <w:szCs w:val="32"/>
        </w:rPr>
        <w:t>植土等</w:t>
      </w:r>
      <w:r>
        <w:rPr>
          <w:rFonts w:hint="eastAsia" w:ascii="仿宋_GB2312" w:hAnsi="Times New Roman" w:eastAsia="仿宋_GB2312"/>
          <w:sz w:val="32"/>
          <w:szCs w:val="32"/>
        </w:rPr>
        <w:t>。</w:t>
      </w:r>
    </w:p>
    <w:p>
      <w:pPr>
        <w:pStyle w:val="4"/>
        <w:tabs>
          <w:tab w:val="left" w:pos="9000"/>
        </w:tabs>
        <w:adjustRightInd w:val="0"/>
        <w:snapToGrid w:val="0"/>
        <w:spacing w:line="360" w:lineRule="auto"/>
        <w:ind w:firstLine="643" w:firstLineChars="200"/>
        <w:outlineLvl w:val="2"/>
        <w:rPr>
          <w:rFonts w:ascii="仿宋_GB2312" w:hAnsi="Times New Roman" w:eastAsia="仿宋_GB2312"/>
          <w:b/>
          <w:sz w:val="32"/>
          <w:szCs w:val="32"/>
        </w:rPr>
      </w:pPr>
      <w:r>
        <w:rPr>
          <w:rFonts w:hint="eastAsia" w:ascii="仿宋_GB2312" w:hAnsi="Times New Roman" w:eastAsia="仿宋_GB2312"/>
          <w:b/>
          <w:sz w:val="32"/>
          <w:szCs w:val="32"/>
        </w:rPr>
        <w:t>5.6修订原标准5要求</w:t>
      </w:r>
    </w:p>
    <w:p>
      <w:pPr>
        <w:widowControl/>
        <w:spacing w:line="360" w:lineRule="auto"/>
        <w:ind w:firstLine="640" w:firstLineChars="200"/>
        <w:rPr>
          <w:rFonts w:ascii="仿宋_GB2312" w:eastAsia="仿宋_GB2312"/>
          <w:sz w:val="32"/>
          <w:szCs w:val="32"/>
        </w:rPr>
      </w:pPr>
      <w:r>
        <w:rPr>
          <w:rFonts w:hint="eastAsia" w:ascii="仿宋_GB2312" w:eastAsia="仿宋_GB2312"/>
          <w:sz w:val="32"/>
          <w:szCs w:val="32"/>
        </w:rPr>
        <w:t>5.6.1原标准5.1.1：应具有满足园林植物生长所需水、肥、气、热的能力，不得有建筑垃圾和有害物质混入。有害物质控制按GB 15618-1995执行。</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修订为：园林绿化栽植土应疏松、无异味且无大于20 mm的石粒、砖块等不可降解的外来物料。建筑垃圾和有害物质严禁混入园林绿化栽植土，有害物质控制按GB36600-2018执行。栽植土应无可见的虫卵、菌丝及地下有害动物，原土中的有益动物应保留。</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修订理由:将园林植物生长条件具体化，原有害物质执行的控制标准《土壤环境质量标准》 GB 15618-2018已经作废，被</w:t>
      </w:r>
      <w:r>
        <w:fldChar w:fldCharType="begin"/>
      </w:r>
      <w:r>
        <w:instrText xml:space="preserve"> HYPERLINK "http://www.csres.com/detail/317155.html" \t "_blank" </w:instrText>
      </w:r>
      <w:r>
        <w:fldChar w:fldCharType="separate"/>
      </w:r>
      <w:r>
        <w:rPr>
          <w:rFonts w:hint="eastAsia" w:ascii="仿宋_GB2312" w:hAnsi="Times New Roman" w:eastAsia="仿宋_GB2312"/>
          <w:sz w:val="32"/>
          <w:szCs w:val="32"/>
        </w:rPr>
        <w:t>GB 15618-2018</w:t>
      </w:r>
      <w:r>
        <w:rPr>
          <w:rFonts w:hint="eastAsia" w:ascii="仿宋_GB2312" w:hAnsi="Times New Roman" w:eastAsia="仿宋_GB2312"/>
          <w:sz w:val="32"/>
          <w:szCs w:val="32"/>
        </w:rPr>
        <w:fldChar w:fldCharType="end"/>
      </w:r>
      <w:r>
        <w:rPr>
          <w:rFonts w:hint="eastAsia" w:ascii="仿宋_GB2312" w:hAnsi="Times New Roman" w:eastAsia="仿宋_GB2312"/>
          <w:sz w:val="32"/>
          <w:szCs w:val="32"/>
        </w:rPr>
        <w:t>代替，现更新。增加对有害生物、有益生物的规定，对类似蚯蚓等有益生物应保证其生存条件，发挥其对土壤的有利生态作用。同时有利于操作人员在实践中树立对土壤处理、消毒的生态理念；同时也可使土壤更具有自然生态特性。</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5.6.2 删除5.1.3条款，</w:t>
      </w:r>
      <w:r>
        <w:rPr>
          <w:rFonts w:hint="eastAsia" w:ascii="仿宋_GB2312" w:eastAsia="仿宋_GB2312"/>
          <w:sz w:val="32"/>
          <w:szCs w:val="32"/>
        </w:rPr>
        <w:t>栽植喜酸性植物的土壤，</w:t>
      </w:r>
      <w:r>
        <w:rPr>
          <w:rFonts w:ascii="仿宋_GB2312" w:eastAsia="仿宋_GB2312"/>
          <w:sz w:val="32"/>
          <w:szCs w:val="32"/>
        </w:rPr>
        <w:t>p</w:t>
      </w:r>
      <w:r>
        <w:rPr>
          <w:rFonts w:hint="eastAsia" w:ascii="仿宋_GB2312" w:eastAsia="仿宋_GB2312"/>
          <w:sz w:val="32"/>
          <w:szCs w:val="32"/>
        </w:rPr>
        <w:t>H值应控制在5.0～6.5。</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修订理由：很多喜酸性植物对土壤酸性程度的要求不同，无法具体到某一个范围，有些喜欢酸性植物如杜鹃、八仙花也可以在中性或微碱性土壤生长良好。</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5.6.3 修订5.1.4条款</w:t>
      </w:r>
      <w:r>
        <w:rPr>
          <w:rFonts w:hint="eastAsia" w:ascii="仿宋_GB2312" w:eastAsia="仿宋_GB2312"/>
          <w:sz w:val="32"/>
          <w:szCs w:val="32"/>
        </w:rPr>
        <w:t>：栽植土最低厚度要求应符合CJJ/T 82-1999规定。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修订为：栽植土最低有效土层厚度要求应符合CJJ/T 82规定。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修订理由：CJJ/T 82-1999 已经作废，由CJJ/T 82-2012代替。为了方便引用其最新版本，将该引用标准的日期删除。</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5.6.4增加5.1.7条款：</w:t>
      </w:r>
      <w:r>
        <w:rPr>
          <w:rFonts w:hint="eastAsia" w:ascii="仿宋_GB2312" w:eastAsia="仿宋_GB2312"/>
          <w:sz w:val="32"/>
          <w:szCs w:val="32"/>
        </w:rPr>
        <w:t>不透水层上栽植植物时，栽植土应能顺畅排水且具有良好蓄水能力和团粒结构。</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修订理由:对于园林绿化施工遇到不透水层时，对种植土壤提出具体要求，保证植物存活率。</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5.6.5增加5.1.8条款：</w:t>
      </w:r>
      <w:r>
        <w:rPr>
          <w:rFonts w:hint="eastAsia" w:ascii="仿宋_GB2312" w:eastAsia="仿宋_GB2312"/>
          <w:sz w:val="32"/>
          <w:szCs w:val="32"/>
        </w:rPr>
        <w:t>重金属镉、汞、砷、铅、铬元素总量、有机污染物六六六、滴滴涕四种异构体和苯并</w:t>
      </w:r>
      <w:r>
        <w:rPr>
          <w:rFonts w:ascii="仿宋_GB2312" w:eastAsia="仿宋_GB2312"/>
          <w:sz w:val="32"/>
          <w:szCs w:val="32"/>
        </w:rPr>
        <w:t>[ɑ]</w:t>
      </w:r>
      <w:r>
        <w:rPr>
          <w:rFonts w:hint="eastAsia" w:ascii="仿宋_GB2312" w:eastAsia="仿宋_GB2312"/>
          <w:sz w:val="32"/>
          <w:szCs w:val="32"/>
        </w:rPr>
        <w:t>芘四种衍生物含量总和应符合</w:t>
      </w:r>
      <w:bookmarkStart w:id="12" w:name="_Hlk59350182"/>
      <w:r>
        <w:rPr>
          <w:rFonts w:hint="eastAsia" w:ascii="仿宋_GB2312" w:eastAsia="仿宋_GB2312"/>
          <w:sz w:val="32"/>
          <w:szCs w:val="32"/>
        </w:rPr>
        <w:t>《农用地土壤污染风险管控标准》GB 15618</w:t>
      </w:r>
      <w:bookmarkEnd w:id="12"/>
      <w:r>
        <w:rPr>
          <w:rFonts w:hint="eastAsia" w:ascii="仿宋_GB2312" w:eastAsia="仿宋_GB2312"/>
          <w:sz w:val="32"/>
          <w:szCs w:val="32"/>
        </w:rPr>
        <w:t>风险筛选值的规定。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增加理由：很多公共绿地空间与人有密切接触，对栽植土环境质量提出具体要求。</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5.6.6 将5.2 理化指标表1拆分为三个表，</w:t>
      </w:r>
      <w:r>
        <w:rPr>
          <w:rFonts w:hint="eastAsia" w:ascii="仿宋_GB2312" w:eastAsia="仿宋_GB2312"/>
          <w:sz w:val="32"/>
          <w:szCs w:val="32"/>
        </w:rPr>
        <w:t>根据乔木和灌木大小明确有效土层厚度要求，增加了入渗率和质地要求。</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原表1理化指标行数较多，不方便查阅，拆分为表1-园林绿化种植土壤有效土层厚度要求，表2-园林绿化种植土壤主控的指标技术要求，和表3-土壤理化指标的技术要求。为了对标现行行业标准《绿化种植土壤》CJ/T 340，在表1增加了入渗率和质地要求。</w:t>
      </w:r>
    </w:p>
    <w:p>
      <w:pPr>
        <w:ind w:firstLine="640" w:firstLineChars="200"/>
        <w:rPr>
          <w:rFonts w:ascii="仿宋_GB2312" w:eastAsia="仿宋_GB2312"/>
          <w:sz w:val="32"/>
          <w:szCs w:val="32"/>
        </w:rPr>
      </w:pPr>
      <w:r>
        <w:rPr>
          <w:rFonts w:ascii="仿宋_GB2312" w:eastAsia="仿宋_GB2312"/>
          <w:sz w:val="32"/>
          <w:szCs w:val="32"/>
        </w:rPr>
        <w:t>土壤入渗性能是指单位时间内通过单位土壤表层渗析吸到剖面的水量，土壤入渗直接影响着城市地表径流和瞬时洪涝。南昌中心城区绿地土壤饱和入渗率变化范围为1.25～288.46 mm/h，均值为51.98 mm/h。若按 2016 年住建部颁布的《绿化种植土壤》标准，要求一般绿化种植的土壤饱和入渗率不小于 5 mm/h，那么南昌中心城区有65.57% 绿地土壤大于 5 mm/h，南昌绿地土壤饱和导水率大部分符合标准要求。南昌城区绿地土壤饱和入渗率变异系数</w:t>
      </w:r>
      <w:r>
        <w:rPr>
          <w:rFonts w:hint="eastAsia" w:ascii="仿宋_GB2312" w:eastAsia="仿宋_GB2312"/>
          <w:sz w:val="32"/>
          <w:szCs w:val="32"/>
        </w:rPr>
        <w:t>为</w:t>
      </w:r>
      <w:r>
        <w:rPr>
          <w:rFonts w:ascii="仿宋_GB2312" w:eastAsia="仿宋_GB2312"/>
          <w:sz w:val="32"/>
          <w:szCs w:val="32"/>
        </w:rPr>
        <w:t>1.06，可能是由于南昌城区不同绿地养护方式和管理差异所致，另一方面可能是由于土壤入渗率受众多土壤因子影响，本身空间变异较大。</w:t>
      </w:r>
    </w:p>
    <w:p>
      <w:pPr>
        <w:ind w:firstLine="640" w:firstLineChars="200"/>
        <w:rPr>
          <w:rFonts w:ascii="仿宋_GB2312" w:eastAsia="仿宋_GB2312"/>
          <w:sz w:val="32"/>
          <w:szCs w:val="32"/>
        </w:rPr>
      </w:pPr>
      <w:r>
        <w:rPr>
          <w:rFonts w:ascii="仿宋_GB2312" w:eastAsia="仿宋_GB2312"/>
          <w:sz w:val="32"/>
          <w:szCs w:val="32"/>
        </w:rPr>
        <w:t>南昌市公园绿地土壤容重最大值为1.67 g/cm</w:t>
      </w:r>
      <w:r>
        <w:rPr>
          <w:rFonts w:ascii="仿宋_GB2312" w:eastAsia="仿宋_GB2312"/>
          <w:sz w:val="32"/>
          <w:szCs w:val="32"/>
          <w:vertAlign w:val="superscript"/>
        </w:rPr>
        <w:t>3</w:t>
      </w:r>
      <w:r>
        <w:rPr>
          <w:rFonts w:ascii="仿宋_GB2312" w:eastAsia="仿宋_GB2312"/>
          <w:sz w:val="32"/>
          <w:szCs w:val="32"/>
        </w:rPr>
        <w:t>，最小值为0.16 g/cm</w:t>
      </w:r>
      <w:r>
        <w:rPr>
          <w:rFonts w:ascii="仿宋_GB2312" w:eastAsia="仿宋_GB2312"/>
          <w:sz w:val="32"/>
          <w:szCs w:val="32"/>
          <w:vertAlign w:val="superscript"/>
        </w:rPr>
        <w:t>3</w:t>
      </w:r>
      <w:r>
        <w:rPr>
          <w:rFonts w:ascii="仿宋_GB2312" w:eastAsia="仿宋_GB2312"/>
          <w:sz w:val="32"/>
          <w:szCs w:val="32"/>
        </w:rPr>
        <w:t>，均值为1.32 g/cm</w:t>
      </w:r>
      <w:r>
        <w:rPr>
          <w:rFonts w:ascii="仿宋_GB2312" w:eastAsia="仿宋_GB2312"/>
          <w:sz w:val="32"/>
          <w:szCs w:val="32"/>
          <w:vertAlign w:val="superscript"/>
        </w:rPr>
        <w:t xml:space="preserve">3 </w:t>
      </w:r>
      <w:r>
        <w:rPr>
          <w:rFonts w:ascii="仿宋_GB2312" w:eastAsia="仿宋_GB2312"/>
          <w:sz w:val="32"/>
          <w:szCs w:val="32"/>
        </w:rPr>
        <w:t>(表</w:t>
      </w:r>
      <w:r>
        <w:rPr>
          <w:rFonts w:hint="eastAsia" w:ascii="仿宋_GB2312" w:eastAsia="仿宋_GB2312"/>
          <w:sz w:val="32"/>
          <w:szCs w:val="32"/>
        </w:rPr>
        <w:t>1</w:t>
      </w:r>
      <w:r>
        <w:rPr>
          <w:rFonts w:ascii="仿宋_GB2312" w:eastAsia="仿宋_GB2312"/>
          <w:sz w:val="32"/>
          <w:szCs w:val="32"/>
        </w:rPr>
        <w:t>)，均值符合《绿化种植土壤》标准中要求土壤容重小于1.35 g/cm</w:t>
      </w:r>
      <w:r>
        <w:rPr>
          <w:rFonts w:ascii="仿宋_GB2312" w:eastAsia="仿宋_GB2312"/>
          <w:sz w:val="32"/>
          <w:szCs w:val="32"/>
          <w:vertAlign w:val="superscript"/>
        </w:rPr>
        <w:t>3</w:t>
      </w:r>
      <w:r>
        <w:rPr>
          <w:rFonts w:ascii="仿宋_GB2312" w:eastAsia="仿宋_GB2312"/>
          <w:sz w:val="32"/>
          <w:szCs w:val="32"/>
        </w:rPr>
        <w:t>，但有55% 绿地土壤密度大于1.35 g/cm</w:t>
      </w:r>
      <w:r>
        <w:rPr>
          <w:rFonts w:ascii="仿宋_GB2312" w:eastAsia="仿宋_GB2312"/>
          <w:sz w:val="32"/>
          <w:szCs w:val="32"/>
          <w:vertAlign w:val="superscript"/>
        </w:rPr>
        <w:t>3</w:t>
      </w:r>
      <w:r>
        <w:rPr>
          <w:rFonts w:ascii="仿宋_GB2312" w:eastAsia="仿宋_GB2312"/>
          <w:sz w:val="32"/>
          <w:szCs w:val="32"/>
        </w:rPr>
        <w:t>，不符合标准要求。土壤容重过大，影响植物根系生长，如容重达到1.40 g/cm</w:t>
      </w:r>
      <w:r>
        <w:rPr>
          <w:rFonts w:ascii="仿宋_GB2312" w:eastAsia="仿宋_GB2312"/>
          <w:sz w:val="32"/>
          <w:szCs w:val="32"/>
          <w:vertAlign w:val="superscript"/>
        </w:rPr>
        <w:t>3</w:t>
      </w:r>
      <w:r>
        <w:rPr>
          <w:rFonts w:ascii="仿宋_GB2312" w:eastAsia="仿宋_GB2312"/>
          <w:sz w:val="32"/>
          <w:szCs w:val="32"/>
        </w:rPr>
        <w:t>将限制根系生长。南昌城区有44.26% 绿地土壤容重高于1.40 g/cm</w:t>
      </w:r>
      <w:r>
        <w:rPr>
          <w:rFonts w:ascii="仿宋_GB2312" w:eastAsia="仿宋_GB2312"/>
          <w:sz w:val="32"/>
          <w:szCs w:val="32"/>
          <w:vertAlign w:val="superscript"/>
        </w:rPr>
        <w:t>3</w:t>
      </w:r>
      <w:r>
        <w:rPr>
          <w:rFonts w:ascii="仿宋_GB2312" w:eastAsia="仿宋_GB2312"/>
          <w:sz w:val="32"/>
          <w:szCs w:val="32"/>
        </w:rPr>
        <w:t>，已严重危害植物根系生长发育。</w:t>
      </w:r>
      <w:r>
        <w:rPr>
          <w:rFonts w:hint="eastAsia" w:ascii="仿宋_GB2312" w:eastAsia="仿宋_GB2312"/>
          <w:sz w:val="32"/>
          <w:szCs w:val="32"/>
        </w:rPr>
        <w:t>省内其它地市园林绿化土壤也有类似特征。</w:t>
      </w:r>
    </w:p>
    <w:p>
      <w:pPr>
        <w:ind w:firstLine="640" w:firstLineChars="200"/>
        <w:rPr>
          <w:rFonts w:ascii="仿宋_GB2312" w:eastAsia="仿宋_GB2312"/>
          <w:sz w:val="32"/>
          <w:szCs w:val="32"/>
        </w:rPr>
      </w:pPr>
      <w:r>
        <w:rPr>
          <w:rFonts w:ascii="仿宋_GB2312" w:eastAsia="仿宋_GB2312"/>
          <w:sz w:val="32"/>
          <w:szCs w:val="32"/>
        </w:rPr>
        <w:t xml:space="preserve">南昌市公园绿地土壤总孔隙度变化范围为18% ～ 59.23%，均值为 42.91%，而一般适于植物生长的土壤总孔隙度为 </w:t>
      </w:r>
      <w:r>
        <w:rPr>
          <w:rFonts w:hint="eastAsia" w:ascii="仿宋_GB2312" w:eastAsia="仿宋_GB2312"/>
          <w:sz w:val="32"/>
          <w:szCs w:val="32"/>
        </w:rPr>
        <w:t>4</w:t>
      </w:r>
      <w:r>
        <w:rPr>
          <w:rFonts w:ascii="仿宋_GB2312" w:eastAsia="仿宋_GB2312"/>
          <w:sz w:val="32"/>
          <w:szCs w:val="32"/>
        </w:rPr>
        <w:t>0%～56%，南昌城区有</w:t>
      </w:r>
      <w:r>
        <w:rPr>
          <w:rFonts w:hint="eastAsia" w:ascii="仿宋_GB2312" w:eastAsia="仿宋_GB2312"/>
          <w:sz w:val="32"/>
          <w:szCs w:val="32"/>
        </w:rPr>
        <w:t>60.87</w:t>
      </w:r>
      <w:r>
        <w:rPr>
          <w:rFonts w:ascii="仿宋_GB2312" w:eastAsia="仿宋_GB2312"/>
          <w:sz w:val="32"/>
          <w:szCs w:val="32"/>
        </w:rPr>
        <w:t>% 绿地土壤总孔隙度大于（或等于）</w:t>
      </w:r>
      <w:r>
        <w:rPr>
          <w:rFonts w:hint="eastAsia" w:ascii="仿宋_GB2312" w:eastAsia="仿宋_GB2312"/>
          <w:sz w:val="32"/>
          <w:szCs w:val="32"/>
        </w:rPr>
        <w:t>4</w:t>
      </w:r>
      <w:r>
        <w:rPr>
          <w:rFonts w:ascii="仿宋_GB2312" w:eastAsia="仿宋_GB2312"/>
          <w:sz w:val="32"/>
          <w:szCs w:val="32"/>
        </w:rPr>
        <w:t>0%。</w:t>
      </w:r>
    </w:p>
    <w:p>
      <w:pPr>
        <w:jc w:val="center"/>
        <w:rPr>
          <w:rFonts w:eastAsia="仿宋"/>
          <w:szCs w:val="21"/>
        </w:rPr>
      </w:pPr>
      <w:r>
        <w:rPr>
          <w:rFonts w:hAnsi="仿宋" w:eastAsia="仿宋"/>
          <w:szCs w:val="21"/>
        </w:rPr>
        <w:t>表</w:t>
      </w:r>
      <w:r>
        <w:rPr>
          <w:rFonts w:hint="eastAsia" w:eastAsia="仿宋"/>
          <w:szCs w:val="21"/>
        </w:rPr>
        <w:t>1</w:t>
      </w:r>
      <w:r>
        <w:rPr>
          <w:rFonts w:eastAsia="仿宋"/>
          <w:szCs w:val="21"/>
        </w:rPr>
        <w:t xml:space="preserve"> </w:t>
      </w:r>
      <w:r>
        <w:rPr>
          <w:rFonts w:hAnsi="仿宋" w:eastAsia="仿宋"/>
          <w:szCs w:val="21"/>
        </w:rPr>
        <w:t>南昌主城区公园绿地土壤基本物理性质</w:t>
      </w:r>
    </w:p>
    <w:tbl>
      <w:tblPr>
        <w:tblStyle w:val="8"/>
        <w:tblW w:w="856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329"/>
        <w:gridCol w:w="1251"/>
        <w:gridCol w:w="1300"/>
        <w:gridCol w:w="1250"/>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13"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参数</w:t>
            </w:r>
          </w:p>
        </w:tc>
        <w:tc>
          <w:tcPr>
            <w:tcW w:w="1329"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最大值</w:t>
            </w:r>
          </w:p>
        </w:tc>
        <w:tc>
          <w:tcPr>
            <w:tcW w:w="1251" w:type="dxa"/>
            <w:shd w:val="clear" w:color="auto" w:fill="auto"/>
            <w:vAlign w:val="center"/>
          </w:tcPr>
          <w:p>
            <w:pPr>
              <w:widowControl/>
              <w:jc w:val="center"/>
              <w:rPr>
                <w:rFonts w:eastAsia="仿宋"/>
                <w:color w:val="000000"/>
                <w:kern w:val="0"/>
                <w:szCs w:val="21"/>
              </w:rPr>
            </w:pPr>
            <w:r>
              <w:rPr>
                <w:rFonts w:eastAsia="仿宋"/>
                <w:color w:val="000000"/>
                <w:kern w:val="0"/>
                <w:szCs w:val="21"/>
              </w:rPr>
              <w:t>最小值</w:t>
            </w:r>
          </w:p>
        </w:tc>
        <w:tc>
          <w:tcPr>
            <w:tcW w:w="1300" w:type="dxa"/>
            <w:shd w:val="clear" w:color="auto" w:fill="auto"/>
            <w:vAlign w:val="center"/>
          </w:tcPr>
          <w:p>
            <w:pPr>
              <w:widowControl/>
              <w:jc w:val="center"/>
              <w:rPr>
                <w:rFonts w:eastAsia="仿宋"/>
                <w:color w:val="000000"/>
                <w:kern w:val="0"/>
                <w:szCs w:val="21"/>
              </w:rPr>
            </w:pPr>
            <w:r>
              <w:rPr>
                <w:rFonts w:eastAsia="仿宋"/>
                <w:color w:val="000000"/>
                <w:kern w:val="0"/>
                <w:szCs w:val="21"/>
              </w:rPr>
              <w:t>均值</w:t>
            </w:r>
          </w:p>
        </w:tc>
        <w:tc>
          <w:tcPr>
            <w:tcW w:w="1250" w:type="dxa"/>
            <w:shd w:val="clear" w:color="auto" w:fill="auto"/>
            <w:vAlign w:val="center"/>
          </w:tcPr>
          <w:p>
            <w:pPr>
              <w:widowControl/>
              <w:jc w:val="center"/>
              <w:rPr>
                <w:rFonts w:eastAsia="仿宋"/>
                <w:color w:val="000000"/>
                <w:kern w:val="0"/>
                <w:szCs w:val="21"/>
              </w:rPr>
            </w:pPr>
            <w:r>
              <w:rPr>
                <w:rFonts w:eastAsia="仿宋"/>
                <w:color w:val="000000"/>
                <w:kern w:val="0"/>
                <w:szCs w:val="21"/>
              </w:rPr>
              <w:t>标准差</w:t>
            </w:r>
          </w:p>
        </w:tc>
        <w:tc>
          <w:tcPr>
            <w:tcW w:w="1325"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变异系数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113"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容重(g/cm</w:t>
            </w:r>
            <w:r>
              <w:rPr>
                <w:rFonts w:eastAsia="仿宋"/>
                <w:color w:val="000000"/>
                <w:kern w:val="0"/>
                <w:szCs w:val="21"/>
                <w:vertAlign w:val="superscript"/>
              </w:rPr>
              <w:t>3</w:t>
            </w:r>
            <w:r>
              <w:rPr>
                <w:rFonts w:eastAsia="仿宋"/>
                <w:color w:val="000000"/>
                <w:kern w:val="0"/>
                <w:szCs w:val="21"/>
              </w:rPr>
              <w:t>)</w:t>
            </w:r>
          </w:p>
        </w:tc>
        <w:tc>
          <w:tcPr>
            <w:tcW w:w="1329"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1.67</w:t>
            </w:r>
          </w:p>
        </w:tc>
        <w:tc>
          <w:tcPr>
            <w:tcW w:w="1251"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0.53</w:t>
            </w:r>
          </w:p>
        </w:tc>
        <w:tc>
          <w:tcPr>
            <w:tcW w:w="1300"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1.32</w:t>
            </w:r>
          </w:p>
        </w:tc>
        <w:tc>
          <w:tcPr>
            <w:tcW w:w="1250"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0.22</w:t>
            </w:r>
          </w:p>
        </w:tc>
        <w:tc>
          <w:tcPr>
            <w:tcW w:w="1325"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113" w:type="dxa"/>
            <w:shd w:val="clear" w:color="auto" w:fill="auto"/>
            <w:vAlign w:val="center"/>
          </w:tcPr>
          <w:p>
            <w:pPr>
              <w:widowControl/>
              <w:jc w:val="center"/>
              <w:rPr>
                <w:rFonts w:eastAsia="仿宋"/>
                <w:color w:val="000000"/>
                <w:kern w:val="0"/>
                <w:szCs w:val="21"/>
              </w:rPr>
            </w:pPr>
            <w:r>
              <w:rPr>
                <w:rFonts w:eastAsia="仿宋"/>
                <w:color w:val="000000"/>
                <w:kern w:val="0"/>
                <w:szCs w:val="21"/>
              </w:rPr>
              <w:t>总孔隙度(%)</w:t>
            </w:r>
          </w:p>
        </w:tc>
        <w:tc>
          <w:tcPr>
            <w:tcW w:w="1329"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59.23</w:t>
            </w:r>
          </w:p>
        </w:tc>
        <w:tc>
          <w:tcPr>
            <w:tcW w:w="1251"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18.00</w:t>
            </w:r>
          </w:p>
        </w:tc>
        <w:tc>
          <w:tcPr>
            <w:tcW w:w="1300"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42.91</w:t>
            </w:r>
          </w:p>
        </w:tc>
        <w:tc>
          <w:tcPr>
            <w:tcW w:w="1250"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8.52</w:t>
            </w:r>
          </w:p>
        </w:tc>
        <w:tc>
          <w:tcPr>
            <w:tcW w:w="1325"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113" w:type="dxa"/>
            <w:shd w:val="clear" w:color="auto" w:fill="auto"/>
            <w:vAlign w:val="center"/>
          </w:tcPr>
          <w:p>
            <w:pPr>
              <w:widowControl/>
              <w:jc w:val="center"/>
              <w:rPr>
                <w:rFonts w:eastAsia="仿宋"/>
                <w:color w:val="000000"/>
                <w:kern w:val="0"/>
                <w:szCs w:val="21"/>
              </w:rPr>
            </w:pPr>
            <w:r>
              <w:rPr>
                <w:rFonts w:eastAsia="仿宋"/>
                <w:color w:val="000000"/>
                <w:kern w:val="0"/>
                <w:szCs w:val="21"/>
              </w:rPr>
              <w:t>入渗率（mm/h）</w:t>
            </w:r>
          </w:p>
        </w:tc>
        <w:tc>
          <w:tcPr>
            <w:tcW w:w="1329"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288.46</w:t>
            </w:r>
          </w:p>
        </w:tc>
        <w:tc>
          <w:tcPr>
            <w:tcW w:w="1251"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1.25</w:t>
            </w:r>
          </w:p>
        </w:tc>
        <w:tc>
          <w:tcPr>
            <w:tcW w:w="1300"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51.98</w:t>
            </w:r>
          </w:p>
        </w:tc>
        <w:tc>
          <w:tcPr>
            <w:tcW w:w="1250"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55.03</w:t>
            </w:r>
          </w:p>
        </w:tc>
        <w:tc>
          <w:tcPr>
            <w:tcW w:w="1325" w:type="dxa"/>
            <w:shd w:val="clear" w:color="auto" w:fill="auto"/>
            <w:noWrap/>
            <w:vAlign w:val="center"/>
          </w:tcPr>
          <w:p>
            <w:pPr>
              <w:widowControl/>
              <w:jc w:val="center"/>
              <w:rPr>
                <w:rFonts w:eastAsia="仿宋"/>
                <w:color w:val="000000"/>
                <w:kern w:val="0"/>
                <w:szCs w:val="21"/>
              </w:rPr>
            </w:pPr>
            <w:r>
              <w:rPr>
                <w:rFonts w:eastAsia="仿宋"/>
                <w:color w:val="000000"/>
                <w:kern w:val="0"/>
                <w:szCs w:val="21"/>
              </w:rPr>
              <w:t>1.06</w:t>
            </w:r>
          </w:p>
        </w:tc>
      </w:tr>
    </w:tbl>
    <w:p>
      <w:pPr>
        <w:pStyle w:val="4"/>
        <w:tabs>
          <w:tab w:val="left" w:pos="9000"/>
        </w:tabs>
        <w:adjustRightInd w:val="0"/>
        <w:snapToGrid w:val="0"/>
        <w:spacing w:line="360" w:lineRule="auto"/>
        <w:ind w:firstLine="640" w:firstLineChars="200"/>
        <w:outlineLvl w:val="2"/>
        <w:rPr>
          <w:rFonts w:ascii="仿宋_GB2312" w:hAnsi="Times New Roman" w:eastAsia="仿宋_GB2312"/>
          <w:color w:val="FF0000"/>
          <w:sz w:val="32"/>
          <w:szCs w:val="32"/>
        </w:rPr>
      </w:pP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不同规格乔灌木要求的有效土层厚度不同。根据CJJ/T 82-2012第4.1 栽植基础明确了栽植土壤有效土层厚度，胸径≥20cm的乔木要求有效土层厚度≥180cm，胸径&lt;20 cm的乔木根据根系深浅细化了不同要求，深根及浅根分别要求土层厚度≥150cm及&gt;100cm。</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物理性质对园林植物生长的影响并不比其他性质低，有时甚至是决定植物生长的最关键因素。土壤物理性质退化成为我国城市绿地最主要的障碍因子，特别是我国在绿地建设过程中使用推土机等重型机械，加上绿地建成后人为践踏严重，致使绿地土壤严重压实和积水严重，土壤排水性差和质地结构遭到破坏是我国新建绿地植物死亡的主要原因。土壤入渗要比土壤容重等物理指标更能全面、客观地反映绿地土壤物理性质和排水能力大小，而且土壤入渗大小也直接决定绿地雨水蓄积和排放能力，这也是当前海绵城市建设的现实需求。近年来，国内在绿地设计时采纳“雨洪”利用的先进理念，但对土壤入渗能力的要求却忽视了，绿地对雨水蓄积和排水作用必须通过土壤入渗才能真正实现。</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5.7修订原标准6检验方法</w:t>
      </w:r>
    </w:p>
    <w:p>
      <w:pPr>
        <w:pStyle w:val="17"/>
        <w:spacing w:before="120" w:after="120"/>
        <w:ind w:firstLine="643" w:firstLineChars="200"/>
        <w:rPr>
          <w:rFonts w:ascii="仿宋_GB2312" w:eastAsia="仿宋_GB2312"/>
          <w:sz w:val="32"/>
          <w:szCs w:val="32"/>
        </w:rPr>
      </w:pPr>
      <w:r>
        <w:rPr>
          <w:rFonts w:hint="eastAsia" w:ascii="仿宋_GB2312" w:eastAsia="仿宋_GB2312"/>
          <w:b/>
          <w:kern w:val="2"/>
          <w:sz w:val="32"/>
          <w:szCs w:val="32"/>
        </w:rPr>
        <w:t>5.7.1增加6.1 取样送样：</w:t>
      </w:r>
      <w:r>
        <w:rPr>
          <w:rFonts w:hint="eastAsia" w:ascii="仿宋_GB2312" w:eastAsia="仿宋_GB2312"/>
          <w:sz w:val="32"/>
          <w:szCs w:val="32"/>
        </w:rPr>
        <w:t>绿化种植土壤的取样送样应符合附录A的规定。</w:t>
      </w:r>
    </w:p>
    <w:p>
      <w:pPr>
        <w:pStyle w:val="14"/>
        <w:ind w:firstLine="64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修订理由：为了标准整体结构的连贯性，将绿化栽植土的取样送样内容摘出来，单独一个附录附在正文的后面，作为规范性附录。</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5.7.2修订原标准6.1 pH值：</w:t>
      </w:r>
      <w:r>
        <w:rPr>
          <w:rFonts w:hint="eastAsia" w:ascii="仿宋_GB2312" w:eastAsia="仿宋_GB2312"/>
          <w:sz w:val="32"/>
          <w:szCs w:val="32"/>
        </w:rPr>
        <w:t>按LY/T 1239-1999 中规定的电位法测定。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修订为：按LY/T 1239 中规定的电位法（水土比2.5:1）测定。</w:t>
      </w:r>
    </w:p>
    <w:p>
      <w:pPr>
        <w:widowControl/>
        <w:spacing w:line="360" w:lineRule="auto"/>
        <w:ind w:firstLine="640" w:firstLineChars="200"/>
        <w:rPr>
          <w:rFonts w:ascii="仿宋_GB2312" w:eastAsia="仿宋_GB2312"/>
          <w:sz w:val="32"/>
          <w:szCs w:val="32"/>
        </w:rPr>
      </w:pPr>
      <w:r>
        <w:rPr>
          <w:rFonts w:hint="eastAsia" w:ascii="仿宋_GB2312" w:eastAsia="仿宋_GB2312"/>
          <w:sz w:val="32"/>
          <w:szCs w:val="32"/>
        </w:rPr>
        <w:t>修订理由：LY/T 1239-1999虽是现行标准，但颁布时间较久，有可能要修订，故将引用标准LY/T 1239删除日期，以便引用其最新版本。不同的样品比如普通土壤、盐土、枯枝落叶层及泥炭层测定酸碱度时，样品与浸提液比例不同，根据行业标准推荐及长期试验积累，本标准采用水土比2.5:1的电位法测定pH值。</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5.7.3 修订原标准6.2 EC值：</w:t>
      </w:r>
      <w:r>
        <w:rPr>
          <w:rFonts w:hint="eastAsia" w:ascii="仿宋_GB2312" w:eastAsia="仿宋_GB2312"/>
          <w:sz w:val="32"/>
          <w:szCs w:val="32"/>
        </w:rPr>
        <w:t>按LY/T 1251 -1999中规定的电导法测定。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修订为：按LY/T 1251 中规定的电导法测定。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1251-1999虽是现行标准，但颁布时间较久，有可能修订，故将引用标准LY/T 1239删除日期，以便引用其最新版本。</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5.7.4修订原标准6.3有机质：</w:t>
      </w:r>
      <w:r>
        <w:rPr>
          <w:rFonts w:hint="eastAsia" w:ascii="仿宋_GB2312" w:eastAsia="仿宋_GB2312"/>
          <w:sz w:val="32"/>
          <w:szCs w:val="32"/>
        </w:rPr>
        <w:t>按LY/T 1237 -1999中规定的重铬酸钾氧化-外加热法测定。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修订为：按LY/T 1237 中规定的重铬酸钾氧化-外加热法测定。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1237-1999虽是现行标准，但颁布时间较久，有可能修订，故将引用标准LY/T 1237删除日期，以便引用其最新版本。</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5.7.5修订原标准6.4有效氮：</w:t>
      </w:r>
      <w:r>
        <w:rPr>
          <w:rFonts w:hint="eastAsia" w:ascii="仿宋_GB2312" w:eastAsia="仿宋_GB2312"/>
          <w:sz w:val="32"/>
          <w:szCs w:val="32"/>
        </w:rPr>
        <w:t>按LY/T 1229-1999 中规定的采用碱解-扩散法测定。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修订为：按LY/T 1228 中规定的采用碱解-扩散法测定。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1228-1999已经作废，被LY/T 1228-2015替代。 现将引用标准LY/T 1228删除日期，以便引用其最新版本。</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5.7.6修订原标准6.5有效磷：</w:t>
      </w:r>
      <w:r>
        <w:rPr>
          <w:rFonts w:hint="eastAsia" w:ascii="仿宋_GB2312" w:eastAsia="仿宋_GB2312"/>
          <w:sz w:val="32"/>
          <w:szCs w:val="32"/>
        </w:rPr>
        <w:t>按LY/T 1233-1999 中规定的盐酸-硫酸浸提法测定。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修订为：按LY/T 1232 中规定的盐酸-硫酸浸提法测定。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1233-1999已经作废，被LY/T 1232-2015替代。</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5.7.7修订原标准6.6速效钾：</w:t>
      </w:r>
      <w:r>
        <w:rPr>
          <w:rFonts w:hint="eastAsia" w:ascii="仿宋_GB2312" w:eastAsia="仿宋_GB2312"/>
          <w:sz w:val="32"/>
          <w:szCs w:val="32"/>
        </w:rPr>
        <w:t>按LY/T 1236-1999 中规定的酸溶火焰光度法测定。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修订为：按LY/T 1234 中规定的酸溶火焰光度法测定。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1236-1999已经作废，被LY/T 1234-2015替代。</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5.7.8修订原标准6.7 石灰反应：</w:t>
      </w:r>
      <w:r>
        <w:rPr>
          <w:rFonts w:hint="eastAsia" w:ascii="仿宋_GB2312" w:eastAsia="仿宋_GB2312"/>
          <w:sz w:val="32"/>
          <w:szCs w:val="32"/>
        </w:rPr>
        <w:t>按 LY/T 1250 -1999中规定的气量法测定。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 LY/T 1250 中规定的气量法测定。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1250-1999虽是现行标准，但颁布时间较久，有可能修订，故将引用标准LY/T 1250删除日期，以便引用其最新版本。</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5.7.9修订原标准6.8阳离子交换量：</w:t>
      </w:r>
      <w:r>
        <w:rPr>
          <w:rFonts w:hint="eastAsia" w:ascii="仿宋_GB2312" w:eastAsia="仿宋_GB2312"/>
          <w:sz w:val="32"/>
          <w:szCs w:val="32"/>
        </w:rPr>
        <w:t>按LY/T 1243-1999 中规定的乙酸铵交换法测定。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修订为：按LY/T 1243 中规定的乙酸铵交换法测定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1243-1999虽是现行标准，但颁布时间较久，有可能修订，故将引用标准LY/T 1243删除日期，以便引用其最新版本。</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5.7.10 修订原标准6.9容重及总孔隙度</w:t>
      </w:r>
      <w:r>
        <w:rPr>
          <w:rFonts w:hint="eastAsia" w:ascii="仿宋_GB2312" w:eastAsia="仿宋_GB2312"/>
          <w:sz w:val="32"/>
          <w:szCs w:val="32"/>
        </w:rPr>
        <w:t>：按LY/T 1215-1999 规定的环刀法测定。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 按LY/T 1215中规定的环刀法测定。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1215-1999虽是现行标准，但颁布时间较久，有可能修订，故将引用标准LY/T 1215删除日期，以便引用其最新版本。</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5.7.11 修订原标准6.10有效土层：</w:t>
      </w:r>
      <w:r>
        <w:rPr>
          <w:rFonts w:hint="eastAsia" w:ascii="仿宋_GB2312" w:eastAsia="仿宋_GB2312"/>
          <w:sz w:val="32"/>
          <w:szCs w:val="32"/>
        </w:rPr>
        <w:t>按 CJJ/T 82-1999 规定的方法测定。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 CJJ/T 82 中规定的方法测定。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修订理由：CJJ/T 82-1999已被CJJ/T 82-2012替代。将删除引用标准日期，以便引用其最新版本。</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5.7.12 修订原标准6.11石砾含量（质量比）：</w:t>
      </w:r>
      <w:r>
        <w:rPr>
          <w:rFonts w:hint="eastAsia" w:ascii="仿宋_GB2312" w:eastAsia="仿宋_GB2312"/>
          <w:sz w:val="32"/>
          <w:szCs w:val="32"/>
        </w:rPr>
        <w:t>按LY/T 1225-1999 中规定的吸管法测定。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修订为：按LY/T 1225 中规定的吸管法测定。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1225-1999虽是现行标准，但颁布时间较久，有可能修订，故将引用标准LY/T 1225删除日期，以便引用其最新版本。</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5.7.13增加质地检验方法6.12质地：</w:t>
      </w:r>
      <w:r>
        <w:rPr>
          <w:rFonts w:hint="eastAsia" w:ascii="仿宋_GB2312" w:eastAsia="仿宋_GB2312"/>
          <w:sz w:val="32"/>
          <w:szCs w:val="32"/>
        </w:rPr>
        <w:t>按LY/T 1225中规定的密度计法测定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修订理由：为了与本标准技术指标相衔接。</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5.7.14 增加入渗率检验方法6.13入渗率 ：</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按LY/T 1218中规定的环刀法测定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修订理由：为了与本标准技术指标相衔接。</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5.8 增加7.1检测和计算所得数值的修约：</w:t>
      </w:r>
      <w:r>
        <w:rPr>
          <w:rFonts w:hint="eastAsia" w:ascii="仿宋_GB2312" w:eastAsia="仿宋_GB2312"/>
          <w:sz w:val="32"/>
          <w:szCs w:val="32"/>
        </w:rPr>
        <w:t>本标准中质量指标合格判断，应符合GB/T 8170中修约值比较法的规定。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修订理由：原标准未对修值方法提出具体的参考标准。</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5.9修订原标准7.2判定规则</w:t>
      </w:r>
      <w:r>
        <w:rPr>
          <w:rFonts w:hint="eastAsia" w:ascii="仿宋_GB2312" w:eastAsia="仿宋_GB2312"/>
          <w:sz w:val="32"/>
          <w:szCs w:val="32"/>
        </w:rPr>
        <w:t>：检测时必须加标准样进行测定，检测结果不符合的要重测。对判定结果有异议的，可以进行一次复检或送第三方检测机构仲裁。复检结果仍有不合格项目则判定为不合格。</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修订为：园林绿化种植土壤pH、EC值、有机质、质地、有效土层、入渗率6个主控指标是必测指标，应全部符合技术要求，若有一项指标不符合技术要求则该土壤视为不合格。</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对园林绿化景观要求较高的种植土壤，如植物园、公园、花坛、花境等，每个样品应符合表3的规定：水解氮、有效磷、速效钾、总孔隙度、石灰反应、阳离子交换量、容重和石砾含量8项指标中至少6项指标符合要求，且未达到技术要求的检测值应控制在标准值的±20%范围内，否则，该土壤视为不合格。</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本部分规定了园林栽植土壤质量的评定方法。原标准没有明确土壤检测时不合格项目的数量，同时为了更好与现行行业标准有效衔接，对于通用栽植土确定土壤pH、EC值、有机质、质地、有效土层、入渗率6个主控指标是必测指标；对于质量较高的园林植物栽植土，水解氮、有效磷、速效钾、总孔隙度、石灰反应、阳离子交换量、容重和石砾含量8项指标中至少6项指标符合规定。</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5.10将原表7.1采样要求合并到附录A中，并对其中条款进行修订：</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5.10.1新增A.1采样准备：</w:t>
      </w:r>
      <w:r>
        <w:rPr>
          <w:rFonts w:hint="eastAsia" w:ascii="仿宋_GB2312" w:eastAsia="仿宋_GB2312"/>
          <w:sz w:val="32"/>
          <w:szCs w:val="32"/>
        </w:rPr>
        <w:t>人员准备、取样器具、技术准备、现场记录等应符合CJ/T 340 的规定。</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5.10.2 修订7.1.1 样点选择：</w:t>
      </w:r>
      <w:r>
        <w:rPr>
          <w:rFonts w:hint="eastAsia" w:ascii="仿宋_GB2312" w:eastAsia="仿宋_GB2312"/>
          <w:sz w:val="32"/>
          <w:szCs w:val="32"/>
        </w:rPr>
        <w:t>根据规划和栽植土的面积确定采样点数量，选择有代表性的样点。</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修订为：根据种植土壤类型、质地、面积大小、植被或拟种植植物种类确定采样点数量，选择代表性的样点。</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修订理由：原标准对样点选择的规定不够准确完整。</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5.10.3修订原标准7.1.2 采样方法：</w:t>
      </w:r>
      <w:r>
        <w:rPr>
          <w:rFonts w:hint="eastAsia" w:ascii="仿宋_GB2312" w:eastAsia="仿宋_GB2312"/>
          <w:sz w:val="32"/>
          <w:szCs w:val="32"/>
        </w:rPr>
        <w:t xml:space="preserve"> 按“S”形方法采集5-10个样点组成一个混合样，样品重1 kg左右，用于化学性状分析；同时，用环刀取原状土，取6个环刀样作为一个样品，用于物理指标测定。</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修订为A.3 采样方法 ：在“S”形方法在确定的土壤取样点上，用小土钻或用小土铲垂直向下切取一片上下厚度（至少2</w:t>
      </w:r>
      <w:r>
        <w:rPr>
          <w:rFonts w:hint="eastAsia" w:hAnsi="宋体"/>
          <w:sz w:val="32"/>
          <w:szCs w:val="32"/>
        </w:rPr>
        <w:t>～</w:t>
      </w:r>
      <w:r>
        <w:rPr>
          <w:rFonts w:hint="eastAsia" w:ascii="仿宋_GB2312" w:hAnsi="Times New Roman" w:eastAsia="仿宋_GB2312"/>
          <w:sz w:val="32"/>
          <w:szCs w:val="32"/>
        </w:rPr>
        <w:t>3</w:t>
      </w:r>
      <w:r>
        <w:rPr>
          <w:rFonts w:ascii="仿宋_GB2312" w:hAnsi="Times New Roman" w:eastAsia="仿宋_GB2312"/>
          <w:sz w:val="32"/>
          <w:szCs w:val="32"/>
        </w:rPr>
        <w:t>cm</w:t>
      </w:r>
      <w:r>
        <w:rPr>
          <w:rFonts w:hint="eastAsia" w:ascii="仿宋_GB2312" w:hAnsi="Times New Roman" w:eastAsia="仿宋_GB2312"/>
          <w:sz w:val="32"/>
          <w:szCs w:val="32"/>
        </w:rPr>
        <w:t xml:space="preserve">）的土块组成1个取样点，采集5 </w:t>
      </w:r>
      <w:r>
        <w:rPr>
          <w:rFonts w:hint="eastAsia" w:hAnsi="宋体"/>
          <w:sz w:val="32"/>
          <w:szCs w:val="32"/>
        </w:rPr>
        <w:t>～</w:t>
      </w:r>
      <w:r>
        <w:rPr>
          <w:rFonts w:hint="eastAsia" w:ascii="仿宋_GB2312" w:hAnsi="Times New Roman" w:eastAsia="仿宋_GB2312"/>
          <w:sz w:val="32"/>
          <w:szCs w:val="32"/>
        </w:rPr>
        <w:t>10个取样点组成一个混合样，根据四分法去掉多余的土壤，依此方法直至最后保留1kg左右的土壤混合样用于化学性状分析；环刀取样按本标准检测方法规定。</w:t>
      </w:r>
    </w:p>
    <w:p>
      <w:pPr>
        <w:pStyle w:val="14"/>
        <w:ind w:firstLine="640"/>
      </w:pPr>
      <w:r>
        <w:rPr>
          <w:rFonts w:hint="eastAsia" w:ascii="仿宋_GB2312" w:hAnsi="Times New Roman" w:eastAsia="仿宋_GB2312"/>
          <w:sz w:val="32"/>
          <w:szCs w:val="32"/>
        </w:rPr>
        <w:t>将土壤混合样装入样品袋密封，袋内、袋外分别放置一个标签，内容包括每个样准备标签两张，内容</w:t>
      </w:r>
      <w:r>
        <w:rPr>
          <w:rFonts w:ascii="仿宋_GB2312" w:hAnsi="Times New Roman" w:eastAsia="仿宋_GB2312"/>
          <w:sz w:val="32"/>
          <w:szCs w:val="32"/>
        </w:rPr>
        <w:t>包括地点、日期、深度、类别</w:t>
      </w:r>
      <w:r>
        <w:rPr>
          <w:rFonts w:hint="eastAsia" w:ascii="仿宋_GB2312" w:hAnsi="Times New Roman" w:eastAsia="仿宋_GB2312"/>
          <w:sz w:val="32"/>
          <w:szCs w:val="32"/>
        </w:rPr>
        <w:t>和采样人。</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修订理由：原标准未明确采样细节及样品筛分方法。</w:t>
      </w:r>
    </w:p>
    <w:p>
      <w:pPr>
        <w:pStyle w:val="4"/>
        <w:tabs>
          <w:tab w:val="left" w:pos="9000"/>
        </w:tabs>
        <w:adjustRightInd w:val="0"/>
        <w:snapToGrid w:val="0"/>
        <w:spacing w:line="360" w:lineRule="auto"/>
        <w:ind w:firstLine="643" w:firstLineChars="200"/>
        <w:outlineLvl w:val="2"/>
        <w:rPr>
          <w:rFonts w:ascii="仿宋_GB2312" w:hAnsi="Times New Roman" w:eastAsia="仿宋_GB2312"/>
          <w:sz w:val="32"/>
          <w:szCs w:val="32"/>
        </w:rPr>
      </w:pPr>
      <w:r>
        <w:rPr>
          <w:rFonts w:hint="eastAsia" w:ascii="仿宋_GB2312" w:hAnsi="Times New Roman" w:eastAsia="仿宋_GB2312"/>
          <w:b/>
          <w:sz w:val="32"/>
          <w:szCs w:val="32"/>
        </w:rPr>
        <w:t>5.10.4 修订7.1.3 采样点密度：</w:t>
      </w:r>
      <w:r>
        <w:rPr>
          <w:rFonts w:hint="eastAsia" w:ascii="仿宋_GB2312" w:hAnsi="Times New Roman" w:eastAsia="仿宋_GB2312"/>
          <w:sz w:val="32"/>
          <w:szCs w:val="32"/>
        </w:rPr>
        <w:t>通用栽植土每10000m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，草坪土、花坛土（花境土）、保护地栽植土每1000m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和屋顶栽植土每一个屋顶分别至少取一个化学和物理性状分析样，采样深度为0～30cm，通用栽植土不足10000m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，草坪土、花坛土（花境土）、保护地栽植土不足1000m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也取一个化学和物理性状分析样。树穴土分0～30cm和30～60cm两层，每50株树至少采集一个剖面样。容器栽植土若已栽植的按统计方法随机抽样，或在栽植前对要使用的制备土进行检测。</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修订为：A.4采样点密度</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取样密度大小主要取决于绿化面积、绿化形式及土质均匀度。</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A.4.1 不同绿化形式</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A.4.1.1通用栽植土及草坪土：一般每10000m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，取1</w:t>
      </w:r>
      <w:r>
        <w:rPr>
          <w:rFonts w:hint="eastAsia"/>
        </w:rPr>
        <w:t>～</w:t>
      </w:r>
      <w:r>
        <w:rPr>
          <w:rFonts w:hint="eastAsia" w:ascii="仿宋_GB2312" w:hAnsi="Times New Roman" w:eastAsia="仿宋_GB2312"/>
          <w:sz w:val="32"/>
          <w:szCs w:val="32"/>
        </w:rPr>
        <w:t>2组混合样，每个混合样至少由5个取样点组成；小于10000 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，取1组土壤混合样，土质不均匀适当增加取样密度。</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 xml:space="preserve">A.4.1.2 花坛土（花境土）：以50 </w:t>
      </w:r>
      <w:r>
        <w:rPr>
          <w:rFonts w:hint="eastAsia"/>
        </w:rPr>
        <w:t xml:space="preserve">～ </w:t>
      </w:r>
      <w:r>
        <w:rPr>
          <w:rFonts w:hint="eastAsia" w:ascii="仿宋_GB2312" w:hAnsi="Times New Roman" w:eastAsia="仿宋_GB2312"/>
          <w:sz w:val="32"/>
          <w:szCs w:val="32"/>
        </w:rPr>
        <w:t>100 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 xml:space="preserve"> 取1个混合样，由5 </w:t>
      </w:r>
      <w:r>
        <w:rPr>
          <w:rFonts w:hint="eastAsia"/>
        </w:rPr>
        <w:t xml:space="preserve">～ </w:t>
      </w:r>
      <w:r>
        <w:rPr>
          <w:rFonts w:hint="eastAsia" w:ascii="仿宋_GB2312" w:hAnsi="Times New Roman" w:eastAsia="仿宋_GB2312"/>
          <w:sz w:val="32"/>
          <w:szCs w:val="32"/>
        </w:rPr>
        <w:t>10个取样点组成。</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 xml:space="preserve">A.4.1.3 树坛土：每50株树分0 </w:t>
      </w:r>
      <w:r>
        <w:rPr>
          <w:rFonts w:hint="eastAsia"/>
        </w:rPr>
        <w:t xml:space="preserve">～ </w:t>
      </w:r>
      <w:r>
        <w:rPr>
          <w:rFonts w:hint="eastAsia" w:ascii="仿宋_GB2312" w:hAnsi="Times New Roman" w:eastAsia="仿宋_GB2312"/>
          <w:sz w:val="32"/>
          <w:szCs w:val="32"/>
        </w:rPr>
        <w:t xml:space="preserve">30 cm和30 </w:t>
      </w:r>
      <w:r>
        <w:rPr>
          <w:rFonts w:hint="eastAsia"/>
        </w:rPr>
        <w:t xml:space="preserve">～ </w:t>
      </w:r>
      <w:r>
        <w:rPr>
          <w:rFonts w:hint="eastAsia" w:ascii="仿宋_GB2312" w:hAnsi="Times New Roman" w:eastAsia="仿宋_GB2312"/>
          <w:sz w:val="32"/>
          <w:szCs w:val="32"/>
        </w:rPr>
        <w:t xml:space="preserve">60 cm两层各一组混合样，取样区域不满50株按50株计。 </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 xml:space="preserve">A.4.1.4 容器栽植土：以50 </w:t>
      </w:r>
      <w:r>
        <w:rPr>
          <w:rFonts w:hint="eastAsia"/>
        </w:rPr>
        <w:t xml:space="preserve">～ </w:t>
      </w:r>
      <w:r>
        <w:rPr>
          <w:rFonts w:hint="eastAsia" w:ascii="仿宋_GB2312" w:hAnsi="Times New Roman" w:eastAsia="仿宋_GB2312"/>
          <w:sz w:val="32"/>
          <w:szCs w:val="32"/>
        </w:rPr>
        <w:t xml:space="preserve"> 100 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取5</w:t>
      </w:r>
      <w:r>
        <w:rPr>
          <w:rFonts w:hint="eastAsia"/>
        </w:rPr>
        <w:t xml:space="preserve">～ </w:t>
      </w:r>
      <w:r>
        <w:rPr>
          <w:rFonts w:hint="eastAsia" w:ascii="仿宋_GB2312" w:hAnsi="Times New Roman" w:eastAsia="仿宋_GB2312"/>
          <w:sz w:val="32"/>
          <w:szCs w:val="32"/>
        </w:rPr>
        <w:t>10个土样作为一个混合样。</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A.4.1.5 保护地及屋顶栽植土：一般每1000m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，取1组混合样，至少由5个取样点组成；小于1000 m</w:t>
      </w:r>
      <w:r>
        <w:rPr>
          <w:rFonts w:hint="eastAsia" w:ascii="仿宋_GB2312" w:hAnsi="Times New Roman" w:eastAsia="仿宋_GB2312"/>
          <w:sz w:val="32"/>
          <w:szCs w:val="32"/>
          <w:vertAlign w:val="superscript"/>
        </w:rPr>
        <w:t>2</w:t>
      </w:r>
      <w:r>
        <w:rPr>
          <w:rFonts w:hint="eastAsia" w:ascii="仿宋_GB2312" w:hAnsi="Times New Roman" w:eastAsia="仿宋_GB2312"/>
          <w:sz w:val="32"/>
          <w:szCs w:val="32"/>
        </w:rPr>
        <w:t>，取1组土壤混合样。</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A.4.2 客土为主的绿地</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 xml:space="preserve">应根据客土的来源和客土的量确定采样点数，不同来源的客土应分别取样，一般以每100 </w:t>
      </w:r>
      <w:r>
        <w:rPr>
          <w:rFonts w:hint="eastAsia"/>
        </w:rPr>
        <w:t xml:space="preserve">～ </w:t>
      </w:r>
      <w:r>
        <w:rPr>
          <w:rFonts w:hint="eastAsia" w:ascii="仿宋_GB2312" w:hAnsi="Times New Roman" w:eastAsia="仿宋_GB2312"/>
          <w:sz w:val="32"/>
          <w:szCs w:val="32"/>
        </w:rPr>
        <w:t>200 m</w:t>
      </w:r>
      <w:r>
        <w:rPr>
          <w:rFonts w:hint="eastAsia" w:ascii="仿宋_GB2312" w:hAnsi="Times New Roman" w:eastAsia="仿宋_GB2312"/>
          <w:sz w:val="32"/>
          <w:szCs w:val="32"/>
          <w:vertAlign w:val="superscript"/>
        </w:rPr>
        <w:t>3</w:t>
      </w:r>
      <w:r>
        <w:rPr>
          <w:rFonts w:hint="eastAsia" w:ascii="仿宋_GB2312" w:hAnsi="Times New Roman" w:eastAsia="仿宋_GB2312"/>
          <w:sz w:val="32"/>
          <w:szCs w:val="32"/>
        </w:rPr>
        <w:t xml:space="preserve"> 取1个混合样，由5 </w:t>
      </w:r>
      <w:r>
        <w:rPr>
          <w:rFonts w:hint="eastAsia"/>
        </w:rPr>
        <w:t xml:space="preserve">～ </w:t>
      </w:r>
      <w:r>
        <w:rPr>
          <w:rFonts w:hint="eastAsia" w:ascii="仿宋_GB2312" w:hAnsi="Times New Roman" w:eastAsia="仿宋_GB2312"/>
          <w:sz w:val="32"/>
          <w:szCs w:val="32"/>
        </w:rPr>
        <w:t>10 个取样点组成；如果客土土壤性质差别不大，可放大取样密度。</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修订理由：根据不同园林栽植土种类或绿化形式分别明确采样点密度，参考现行行业标准《绿化种植土壤》（CJ/T 340-2016）的附录A土壤的取样送样制定。</w:t>
      </w:r>
    </w:p>
    <w:p>
      <w:pPr>
        <w:pStyle w:val="4"/>
        <w:tabs>
          <w:tab w:val="left" w:pos="9000"/>
        </w:tabs>
        <w:adjustRightInd w:val="0"/>
        <w:snapToGrid w:val="0"/>
        <w:spacing w:line="360" w:lineRule="auto"/>
        <w:ind w:firstLine="643" w:firstLineChars="200"/>
        <w:outlineLvl w:val="2"/>
        <w:rPr>
          <w:rFonts w:ascii="仿宋_GB2312" w:hAnsi="Times New Roman" w:eastAsia="仿宋_GB2312"/>
          <w:sz w:val="32"/>
          <w:szCs w:val="32"/>
        </w:rPr>
      </w:pPr>
      <w:r>
        <w:rPr>
          <w:rFonts w:hint="eastAsia" w:ascii="仿宋_GB2312" w:hAnsi="Times New Roman" w:eastAsia="仿宋_GB2312"/>
          <w:b/>
          <w:sz w:val="32"/>
          <w:szCs w:val="32"/>
        </w:rPr>
        <w:t>5.</w:t>
      </w:r>
      <w:r>
        <w:rPr>
          <w:rFonts w:ascii="仿宋_GB2312" w:hAnsi="Times New Roman" w:eastAsia="仿宋_GB2312"/>
          <w:b/>
          <w:sz w:val="32"/>
          <w:szCs w:val="32"/>
        </w:rPr>
        <w:t>10</w:t>
      </w:r>
      <w:r>
        <w:rPr>
          <w:rFonts w:hint="eastAsia" w:ascii="仿宋_GB2312" w:hAnsi="Times New Roman" w:eastAsia="仿宋_GB2312"/>
          <w:b/>
          <w:sz w:val="32"/>
          <w:szCs w:val="32"/>
        </w:rPr>
        <w:t>.5 修订7.1.3 对采样深度的要求：</w:t>
      </w:r>
      <w:r>
        <w:rPr>
          <w:rFonts w:hint="eastAsia" w:ascii="仿宋_GB2312" w:hAnsi="Times New Roman" w:eastAsia="仿宋_GB2312"/>
          <w:sz w:val="32"/>
          <w:szCs w:val="32"/>
        </w:rPr>
        <w:t>通用栽植土、草坪土、花坛土（花境土）、保护地栽植土采样深度为0</w:t>
      </w:r>
      <w:r>
        <w:rPr>
          <w:rFonts w:hint="eastAsia"/>
        </w:rPr>
        <w:t xml:space="preserve">～ </w:t>
      </w:r>
      <w:r>
        <w:rPr>
          <w:rFonts w:hint="eastAsia" w:ascii="仿宋_GB2312" w:hAnsi="Times New Roman" w:eastAsia="仿宋_GB2312"/>
          <w:sz w:val="32"/>
          <w:szCs w:val="32"/>
        </w:rPr>
        <w:t>30cm。树穴土分0～30cm和30～60cm两层，每50株树至少采集一个剖面样。</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修订为：8.5取样深度</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A.5.1一般情况：分层采样组成土壤混合样，即不同采样点同一层次采的样品混合后作为该层次的土壤混合样；如果土壤30cm以下取样困难或差异不大，可以选择一个有代表性取样点组成该层的混合样。</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 xml:space="preserve">A.5.2绿化植物种植前的绿地本底调查：种植草本植物或小灌木的绿地采0～30cm一层；种高大乔灌木的绿地采0～30cm和30 </w:t>
      </w:r>
      <w:r>
        <w:rPr>
          <w:rFonts w:ascii="Times New Roman" w:hAnsi="Times New Roman" w:eastAsia="仿宋_GB2312"/>
          <w:sz w:val="32"/>
          <w:szCs w:val="32"/>
        </w:rPr>
        <w:t>～</w:t>
      </w:r>
      <w:r>
        <w:rPr>
          <w:rFonts w:hint="eastAsia" w:ascii="仿宋_GB2312" w:hAnsi="Times New Roman" w:eastAsia="仿宋_GB2312"/>
          <w:sz w:val="32"/>
          <w:szCs w:val="32"/>
        </w:rPr>
        <w:t>60cm二层；必要时根据需要采更深的层次。</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A.5.3已种植绿化植物的：可以根据检测的实际需要确定采样的深度或是否需要分层采样。</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1）一般根据绿地或者植物类型来确定采样层次：花坛、花境、草坪、保护地采0～ 30cm一层；中小乔木和灌木采0～ 30cm、30 ～60cm二层；高大乔灌木采0～30cm、30 ～60cm二层或0～30cm、30～60cm和60～90 cm三层；必要时根据需要采更深的层次。</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2）也可根据植物根系分布的多、中、少分几个层次分别采样，确保检测数据能更真实代表植物根系周围的土壤实际情况。</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修订理由：参考行业标准《绿化种植土壤》（CJ/T 340-2016）的附录A土壤的取样送样，根据一般情况、绿地本底调查、绿地或者植物类型分别明确取样深度。</w:t>
      </w:r>
    </w:p>
    <w:p>
      <w:pPr>
        <w:pStyle w:val="4"/>
        <w:tabs>
          <w:tab w:val="left" w:pos="9000"/>
        </w:tabs>
        <w:adjustRightInd w:val="0"/>
        <w:snapToGrid w:val="0"/>
        <w:spacing w:line="360" w:lineRule="auto"/>
        <w:ind w:firstLine="643" w:firstLineChars="200"/>
        <w:outlineLvl w:val="2"/>
        <w:rPr>
          <w:rFonts w:ascii="仿宋_GB2312" w:hAnsi="Times New Roman" w:eastAsia="仿宋_GB2312"/>
          <w:sz w:val="32"/>
          <w:szCs w:val="32"/>
        </w:rPr>
      </w:pPr>
      <w:bookmarkStart w:id="13" w:name="_Toc454743237"/>
      <w:bookmarkStart w:id="14" w:name="_Toc454743346"/>
      <w:bookmarkStart w:id="15" w:name="_Toc454745703"/>
      <w:bookmarkStart w:id="16" w:name="_Toc454745944"/>
      <w:bookmarkStart w:id="17" w:name="_Toc479942531"/>
      <w:r>
        <w:rPr>
          <w:rFonts w:hint="eastAsia" w:ascii="仿宋_GB2312" w:hAnsi="Times New Roman" w:eastAsia="仿宋_GB2312"/>
          <w:b/>
          <w:sz w:val="32"/>
          <w:szCs w:val="32"/>
        </w:rPr>
        <w:t>5.</w:t>
      </w:r>
      <w:r>
        <w:rPr>
          <w:rFonts w:ascii="仿宋_GB2312" w:hAnsi="Times New Roman" w:eastAsia="仿宋_GB2312"/>
          <w:b/>
          <w:sz w:val="32"/>
          <w:szCs w:val="32"/>
        </w:rPr>
        <w:t>10</w:t>
      </w:r>
      <w:r>
        <w:rPr>
          <w:rFonts w:hint="eastAsia" w:ascii="仿宋_GB2312" w:hAnsi="Times New Roman" w:eastAsia="仿宋_GB2312"/>
          <w:b/>
          <w:sz w:val="32"/>
          <w:szCs w:val="32"/>
        </w:rPr>
        <w:t>.6修订原标准7.1.5 采样准备：</w:t>
      </w:r>
      <w:r>
        <w:rPr>
          <w:rFonts w:hint="eastAsia" w:ascii="仿宋_GB2312" w:hAnsi="Times New Roman" w:eastAsia="仿宋_GB2312"/>
          <w:sz w:val="32"/>
          <w:szCs w:val="32"/>
        </w:rPr>
        <w:t>每个样准备标签两张，内容包括地点、日期、深度、类别和采样人。</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修订为A.6现场记录</w:t>
      </w:r>
      <w:bookmarkEnd w:id="13"/>
      <w:bookmarkEnd w:id="14"/>
      <w:bookmarkEnd w:id="15"/>
      <w:bookmarkEnd w:id="16"/>
      <w:bookmarkEnd w:id="17"/>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A.6.1每个样准备标签两张，对采好的混合样标明样品名称、土壤类型、采样地点、深度、采样人、日期等标识；</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A.6.2 对采样点种植植物等情况进行描述，有图纸的将采样点标识到图纸中，有条件时可进行全球定位系统定位并做好记录。</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修订理由：增加有图纸得可将采样点标记到图纸上，或做好系统定位。</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w:t>
      </w:r>
      <w:bookmarkStart w:id="18" w:name="_Toc454743238"/>
      <w:bookmarkStart w:id="19" w:name="_Toc454743347"/>
      <w:bookmarkStart w:id="20" w:name="_Toc454745704"/>
      <w:bookmarkStart w:id="21" w:name="_Toc454745945"/>
      <w:bookmarkStart w:id="22" w:name="_Toc479942532"/>
      <w:r>
        <w:rPr>
          <w:rFonts w:ascii="仿宋_GB2312" w:eastAsia="仿宋_GB2312"/>
          <w:b/>
          <w:sz w:val="32"/>
          <w:szCs w:val="32"/>
        </w:rPr>
        <w:t>10</w:t>
      </w:r>
      <w:r>
        <w:rPr>
          <w:rFonts w:hint="eastAsia" w:ascii="仿宋_GB2312" w:eastAsia="仿宋_GB2312"/>
          <w:b/>
          <w:sz w:val="32"/>
          <w:szCs w:val="32"/>
        </w:rPr>
        <w:t>.7新增A.7采样时间</w:t>
      </w:r>
      <w:bookmarkEnd w:id="18"/>
      <w:bookmarkEnd w:id="19"/>
      <w:bookmarkEnd w:id="20"/>
      <w:bookmarkEnd w:id="21"/>
      <w:bookmarkEnd w:id="22"/>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A.7.1 采样应避开暴雨后或炽热阳光，宜在土壤干湿度适宜时进行。</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A.7.2 采样宜在种植的前15天进行，不合格及时改良修复，直至改良修复合格后才可进行绿化种植。</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修订理由：采样时间对样品均匀性和物理性状关系密切</w:t>
      </w:r>
    </w:p>
    <w:p>
      <w:pPr>
        <w:widowControl/>
        <w:spacing w:line="360" w:lineRule="auto"/>
        <w:ind w:firstLine="643" w:firstLineChars="200"/>
        <w:rPr>
          <w:rFonts w:ascii="仿宋_GB2312" w:eastAsia="仿宋_GB2312"/>
          <w:sz w:val="32"/>
          <w:szCs w:val="32"/>
        </w:rPr>
      </w:pPr>
      <w:r>
        <w:rPr>
          <w:rFonts w:hint="eastAsia" w:ascii="仿宋_GB2312" w:eastAsia="仿宋_GB2312"/>
          <w:b/>
          <w:sz w:val="32"/>
          <w:szCs w:val="32"/>
        </w:rPr>
        <w:t>5.</w:t>
      </w:r>
      <w:r>
        <w:rPr>
          <w:rFonts w:ascii="仿宋_GB2312" w:eastAsia="仿宋_GB2312"/>
          <w:b/>
          <w:sz w:val="32"/>
          <w:szCs w:val="32"/>
        </w:rPr>
        <w:t>10</w:t>
      </w:r>
      <w:r>
        <w:rPr>
          <w:rFonts w:hint="eastAsia" w:ascii="仿宋_GB2312" w:eastAsia="仿宋_GB2312"/>
          <w:b/>
          <w:sz w:val="32"/>
          <w:szCs w:val="32"/>
        </w:rPr>
        <w:t>.8 修订原标准7.1.4样品的制备：</w:t>
      </w:r>
      <w:r>
        <w:rPr>
          <w:rFonts w:hint="eastAsia" w:ascii="仿宋_GB2312" w:eastAsia="仿宋_GB2312"/>
          <w:sz w:val="32"/>
          <w:szCs w:val="32"/>
        </w:rPr>
        <w:t>按LY/T 1210-1999 中规定的方法制备。</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修订为：A.8 样品制备</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土壤样品的制备步骤包括风干、研磨、过筛、混合分样、贮存，具体按LY/T 1210 中规定的方法制备。</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修订理由：LY/T 1225-1999虽是现行标准，但颁布时间较久，有可能修订，故将引用标准LY/T 1225删除日期，以便引用其最新版本。</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5.</w:t>
      </w:r>
      <w:r>
        <w:rPr>
          <w:rFonts w:ascii="仿宋_GB2312" w:eastAsia="仿宋_GB2312"/>
          <w:b/>
          <w:sz w:val="32"/>
          <w:szCs w:val="32"/>
        </w:rPr>
        <w:t>10</w:t>
      </w:r>
      <w:r>
        <w:rPr>
          <w:rFonts w:hint="eastAsia" w:ascii="仿宋_GB2312" w:eastAsia="仿宋_GB2312"/>
          <w:b/>
          <w:sz w:val="32"/>
          <w:szCs w:val="32"/>
        </w:rPr>
        <w:t>.9 新增</w:t>
      </w:r>
      <w:bookmarkStart w:id="23" w:name="_Toc454743239"/>
      <w:bookmarkStart w:id="24" w:name="_Toc454743348"/>
      <w:bookmarkStart w:id="25" w:name="_Toc454745705"/>
      <w:bookmarkStart w:id="26" w:name="_Toc454745946"/>
      <w:bookmarkStart w:id="27" w:name="_Toc479942533"/>
      <w:r>
        <w:rPr>
          <w:rFonts w:hint="eastAsia" w:ascii="仿宋_GB2312" w:eastAsia="仿宋_GB2312"/>
          <w:b/>
          <w:sz w:val="32"/>
          <w:szCs w:val="32"/>
        </w:rPr>
        <w:t>A.9样品保护与送样</w:t>
      </w:r>
      <w:bookmarkEnd w:id="23"/>
      <w:bookmarkEnd w:id="24"/>
      <w:bookmarkEnd w:id="25"/>
      <w:bookmarkEnd w:id="26"/>
      <w:bookmarkEnd w:id="27"/>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A.9.1现场采好的混合样应放在干净的塑料袋、纸袋或瓶子中封存，避免日晒雨淋或被污染破坏，在见证员的见证下护送至检测机构。</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A.9.2避免用含有待测组分或对测试有干扰的材料制成的器具或容器进行采样和保存样品。</w:t>
      </w:r>
    </w:p>
    <w:p>
      <w:pPr>
        <w:pStyle w:val="4"/>
        <w:tabs>
          <w:tab w:val="left" w:pos="9000"/>
        </w:tabs>
        <w:adjustRightInd w:val="0"/>
        <w:snapToGrid w:val="0"/>
        <w:spacing w:line="360" w:lineRule="auto"/>
        <w:ind w:firstLine="640" w:firstLineChars="200"/>
        <w:outlineLvl w:val="2"/>
        <w:rPr>
          <w:rFonts w:ascii="仿宋_GB2312" w:hAnsi="Times New Roman" w:eastAsia="仿宋_GB2312"/>
          <w:sz w:val="32"/>
          <w:szCs w:val="32"/>
        </w:rPr>
      </w:pPr>
      <w:r>
        <w:rPr>
          <w:rFonts w:hint="eastAsia" w:ascii="仿宋_GB2312" w:hAnsi="Times New Roman" w:eastAsia="仿宋_GB2312"/>
          <w:sz w:val="32"/>
          <w:szCs w:val="32"/>
        </w:rPr>
        <w:t>修订理由：样品的储存是影响数据质量的关键因素.</w:t>
      </w:r>
    </w:p>
    <w:p/>
    <w:p/>
    <w:p/>
    <w:p/>
    <w:p/>
    <w:p/>
    <w:p/>
    <w:p/>
    <w:p/>
    <w:p>
      <w:pPr>
        <w:sectPr>
          <w:pgSz w:w="11906" w:h="16838"/>
          <w:pgMar w:top="1440" w:right="1800" w:bottom="1440" w:left="1800" w:header="851" w:footer="992" w:gutter="0"/>
          <w:cols w:space="425" w:num="1"/>
          <w:docGrid w:type="lines" w:linePitch="312" w:charSpace="0"/>
        </w:sectPr>
      </w:pPr>
    </w:p>
    <w:p>
      <w:pPr>
        <w:widowControl/>
        <w:adjustRightInd w:val="0"/>
        <w:snapToGrid w:val="0"/>
        <w:spacing w:beforeLines="10" w:afterLines="10"/>
        <w:rPr>
          <w:rFonts w:ascii="仿宋_GB2312" w:hAnsi="Arial" w:eastAsia="仿宋_GB2312" w:cs="Arial"/>
          <w:bCs/>
          <w:kern w:val="0"/>
          <w:sz w:val="28"/>
          <w:szCs w:val="28"/>
        </w:rPr>
      </w:pPr>
      <w:r>
        <w:rPr>
          <w:rFonts w:hint="eastAsia" w:ascii="仿宋_GB2312" w:hAnsi="Arial" w:eastAsia="仿宋_GB2312" w:cs="Arial"/>
          <w:bCs/>
          <w:kern w:val="0"/>
          <w:sz w:val="28"/>
          <w:szCs w:val="28"/>
        </w:rPr>
        <w:t>附件1：</w:t>
      </w:r>
    </w:p>
    <w:p>
      <w:pPr>
        <w:widowControl/>
        <w:tabs>
          <w:tab w:val="left" w:pos="557"/>
          <w:tab w:val="left" w:pos="1684"/>
          <w:tab w:val="left" w:pos="8928"/>
          <w:tab w:val="left" w:pos="10368"/>
        </w:tabs>
        <w:adjustRightInd w:val="0"/>
        <w:snapToGrid w:val="0"/>
        <w:spacing w:beforeLines="10" w:afterLines="10"/>
        <w:jc w:val="center"/>
        <w:rPr>
          <w:rFonts w:ascii="黑体" w:hAnsi="Arial" w:eastAsia="黑体" w:cs="Arial"/>
          <w:bCs/>
          <w:kern w:val="0"/>
          <w:sz w:val="32"/>
          <w:szCs w:val="32"/>
        </w:rPr>
      </w:pPr>
      <w:r>
        <w:rPr>
          <w:rFonts w:hint="eastAsia" w:ascii="黑体" w:hAnsi="Arial" w:eastAsia="黑体" w:cs="Arial"/>
          <w:bCs/>
          <w:kern w:val="0"/>
          <w:sz w:val="32"/>
          <w:szCs w:val="32"/>
        </w:rPr>
        <w:t>地方标准(征求意见稿)意见汇总表</w:t>
      </w:r>
    </w:p>
    <w:p>
      <w:pPr>
        <w:widowControl/>
        <w:tabs>
          <w:tab w:val="left" w:pos="557"/>
          <w:tab w:val="left" w:pos="1684"/>
          <w:tab w:val="left" w:pos="8928"/>
          <w:tab w:val="left" w:pos="10368"/>
        </w:tabs>
        <w:adjustRightInd w:val="0"/>
        <w:snapToGrid w:val="0"/>
        <w:spacing w:beforeLines="10" w:afterLines="10"/>
        <w:rPr>
          <w:rFonts w:ascii="仿宋_GB2312" w:hAnsi="宋体" w:eastAsia="仿宋_GB2312" w:cs="Arial"/>
          <w:b/>
          <w:bCs/>
          <w:kern w:val="0"/>
          <w:sz w:val="28"/>
          <w:szCs w:val="28"/>
        </w:rPr>
      </w:pPr>
    </w:p>
    <w:p>
      <w:pPr>
        <w:widowControl/>
        <w:tabs>
          <w:tab w:val="left" w:pos="557"/>
          <w:tab w:val="left" w:pos="1684"/>
          <w:tab w:val="left" w:pos="8928"/>
          <w:tab w:val="left" w:pos="10368"/>
        </w:tabs>
        <w:wordWrap w:val="0"/>
        <w:adjustRightInd w:val="0"/>
        <w:snapToGrid w:val="0"/>
        <w:spacing w:beforeLines="10" w:afterLines="10"/>
        <w:ind w:right="560"/>
        <w:rPr>
          <w:rFonts w:ascii="仿宋_GB2312" w:hAnsi="Arial" w:eastAsia="仿宋_GB2312" w:cs="Arial"/>
          <w:bCs/>
          <w:kern w:val="0"/>
          <w:sz w:val="28"/>
          <w:szCs w:val="28"/>
        </w:rPr>
      </w:pPr>
    </w:p>
    <w:p>
      <w:pPr>
        <w:rPr>
          <w:rFonts w:ascii="仿宋" w:hAnsi="仿宋" w:eastAsia="仿宋"/>
          <w:sz w:val="30"/>
          <w:szCs w:val="30"/>
        </w:rPr>
      </w:pPr>
      <w:r>
        <w:rPr>
          <w:rFonts w:hint="eastAsia" w:ascii="仿宋" w:hAnsi="仿宋" w:eastAsia="仿宋"/>
          <w:sz w:val="30"/>
          <w:szCs w:val="30"/>
        </w:rPr>
        <w:t>标准名称：园林植物栽植土质量要求                             起草单位：南昌市园林绿化服务中心</w:t>
      </w:r>
    </w:p>
    <w:p>
      <w:pPr>
        <w:rPr>
          <w:rFonts w:ascii="仿宋" w:hAnsi="仿宋" w:eastAsia="仿宋"/>
          <w:sz w:val="30"/>
          <w:szCs w:val="30"/>
        </w:rPr>
      </w:pPr>
      <w:r>
        <w:rPr>
          <w:rFonts w:hint="eastAsia" w:ascii="仿宋" w:hAnsi="仿宋" w:eastAsia="仿宋"/>
          <w:sz w:val="30"/>
          <w:szCs w:val="30"/>
        </w:rPr>
        <w:t>联</w:t>
      </w:r>
      <w:r>
        <w:rPr>
          <w:rFonts w:ascii="仿宋" w:hAnsi="仿宋" w:eastAsia="仿宋"/>
          <w:sz w:val="30"/>
          <w:szCs w:val="30"/>
        </w:rPr>
        <w:t xml:space="preserve"> </w:t>
      </w:r>
      <w:r>
        <w:rPr>
          <w:rFonts w:hint="eastAsia" w:ascii="仿宋" w:hAnsi="仿宋" w:eastAsia="仿宋"/>
          <w:sz w:val="30"/>
          <w:szCs w:val="30"/>
        </w:rPr>
        <w:t>系</w:t>
      </w:r>
      <w:r>
        <w:rPr>
          <w:rFonts w:ascii="仿宋" w:hAnsi="仿宋" w:eastAsia="仿宋"/>
          <w:sz w:val="30"/>
          <w:szCs w:val="30"/>
        </w:rPr>
        <w:t xml:space="preserve"> </w:t>
      </w:r>
      <w:r>
        <w:rPr>
          <w:rFonts w:hint="eastAsia" w:ascii="仿宋" w:hAnsi="仿宋" w:eastAsia="仿宋"/>
          <w:sz w:val="30"/>
          <w:szCs w:val="30"/>
        </w:rPr>
        <w:t>人：王小慧</w:t>
      </w:r>
      <w:r>
        <w:rPr>
          <w:rFonts w:ascii="仿宋" w:hAnsi="仿宋" w:eastAsia="仿宋"/>
          <w:sz w:val="30"/>
          <w:szCs w:val="30"/>
        </w:rPr>
        <w:t xml:space="preserve">                    </w:t>
      </w:r>
      <w:r>
        <w:rPr>
          <w:rFonts w:hint="eastAsia" w:ascii="仿宋" w:hAnsi="仿宋" w:eastAsia="仿宋"/>
          <w:sz w:val="30"/>
          <w:szCs w:val="30"/>
        </w:rPr>
        <w:t xml:space="preserve">     电话：13177893869</w:t>
      </w:r>
      <w:r>
        <w:rPr>
          <w:rFonts w:ascii="仿宋" w:hAnsi="仿宋" w:eastAsia="仿宋"/>
          <w:sz w:val="30"/>
          <w:szCs w:val="30"/>
        </w:rPr>
        <w:t xml:space="preserve"> </w:t>
      </w:r>
      <w:r>
        <w:rPr>
          <w:rFonts w:hint="eastAsia" w:ascii="仿宋" w:hAnsi="仿宋" w:eastAsia="仿宋"/>
          <w:sz w:val="30"/>
          <w:szCs w:val="30"/>
        </w:rPr>
        <w:t xml:space="preserve">    </w:t>
      </w:r>
      <w:r>
        <w:rPr>
          <w:rFonts w:ascii="仿宋" w:hAnsi="仿宋" w:eastAsia="仿宋"/>
          <w:sz w:val="30"/>
          <w:szCs w:val="30"/>
        </w:rPr>
        <w:t xml:space="preserve">        </w:t>
      </w:r>
      <w:r>
        <w:rPr>
          <w:rFonts w:hint="eastAsia" w:ascii="仿宋" w:hAnsi="仿宋" w:eastAsia="仿宋"/>
          <w:sz w:val="30"/>
          <w:szCs w:val="30"/>
        </w:rPr>
        <w:t>2023年8月4日 填写</w:t>
      </w:r>
    </w:p>
    <w:tbl>
      <w:tblPr>
        <w:tblStyle w:val="8"/>
        <w:tblW w:w="14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679"/>
        <w:gridCol w:w="5431"/>
        <w:gridCol w:w="4208"/>
        <w:gridCol w:w="1417"/>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exact"/>
          <w:tblHeader/>
          <w:jc w:val="center"/>
        </w:trPr>
        <w:tc>
          <w:tcPr>
            <w:tcW w:w="705" w:type="dxa"/>
            <w:vAlign w:val="center"/>
          </w:tcPr>
          <w:p>
            <w:pPr>
              <w:widowControl/>
              <w:adjustRightInd w:val="0"/>
              <w:snapToGrid w:val="0"/>
              <w:spacing w:beforeLines="10" w:afterLines="10"/>
              <w:jc w:val="center"/>
              <w:rPr>
                <w:rFonts w:ascii="仿宋" w:hAnsi="仿宋" w:eastAsia="仿宋" w:cs="Arial"/>
                <w:bCs/>
                <w:kern w:val="0"/>
                <w:sz w:val="32"/>
                <w:szCs w:val="32"/>
              </w:rPr>
            </w:pPr>
            <w:r>
              <w:rPr>
                <w:rFonts w:hint="eastAsia" w:ascii="仿宋" w:hAnsi="仿宋" w:eastAsia="仿宋" w:cs="Arial"/>
                <w:bCs/>
                <w:kern w:val="0"/>
                <w:sz w:val="32"/>
                <w:szCs w:val="32"/>
              </w:rPr>
              <w:t>序号</w:t>
            </w:r>
          </w:p>
        </w:tc>
        <w:tc>
          <w:tcPr>
            <w:tcW w:w="1679" w:type="dxa"/>
            <w:vAlign w:val="center"/>
          </w:tcPr>
          <w:p>
            <w:pPr>
              <w:widowControl/>
              <w:adjustRightInd w:val="0"/>
              <w:snapToGrid w:val="0"/>
              <w:spacing w:beforeLines="10" w:afterLines="10"/>
              <w:jc w:val="center"/>
              <w:rPr>
                <w:rFonts w:ascii="仿宋" w:hAnsi="仿宋" w:eastAsia="仿宋" w:cs="Arial"/>
                <w:bCs/>
                <w:kern w:val="0"/>
                <w:sz w:val="32"/>
                <w:szCs w:val="32"/>
              </w:rPr>
            </w:pPr>
            <w:r>
              <w:rPr>
                <w:rFonts w:hint="eastAsia" w:ascii="仿宋" w:hAnsi="仿宋" w:eastAsia="仿宋" w:cs="Arial"/>
                <w:bCs/>
                <w:kern w:val="0"/>
                <w:sz w:val="32"/>
                <w:szCs w:val="32"/>
              </w:rPr>
              <w:t>地方标准</w:t>
            </w:r>
          </w:p>
          <w:p>
            <w:pPr>
              <w:widowControl/>
              <w:adjustRightInd w:val="0"/>
              <w:snapToGrid w:val="0"/>
              <w:spacing w:beforeLines="10" w:afterLines="10"/>
              <w:jc w:val="center"/>
              <w:rPr>
                <w:rFonts w:ascii="仿宋" w:hAnsi="仿宋" w:eastAsia="仿宋" w:cs="Arial"/>
                <w:bCs/>
                <w:kern w:val="0"/>
                <w:sz w:val="32"/>
                <w:szCs w:val="32"/>
              </w:rPr>
            </w:pPr>
            <w:r>
              <w:rPr>
                <w:rFonts w:hint="eastAsia" w:ascii="仿宋" w:hAnsi="仿宋" w:eastAsia="仿宋" w:cs="Arial"/>
                <w:bCs/>
                <w:kern w:val="0"/>
                <w:sz w:val="32"/>
                <w:szCs w:val="32"/>
              </w:rPr>
              <w:t>章条编号</w:t>
            </w:r>
          </w:p>
        </w:tc>
        <w:tc>
          <w:tcPr>
            <w:tcW w:w="5431" w:type="dxa"/>
            <w:vAlign w:val="center"/>
          </w:tcPr>
          <w:p>
            <w:pPr>
              <w:widowControl/>
              <w:adjustRightInd w:val="0"/>
              <w:snapToGrid w:val="0"/>
              <w:spacing w:beforeLines="10" w:afterLines="10"/>
              <w:jc w:val="center"/>
              <w:rPr>
                <w:rFonts w:ascii="仿宋" w:hAnsi="仿宋" w:eastAsia="仿宋" w:cs="Arial"/>
                <w:bCs/>
                <w:kern w:val="0"/>
                <w:sz w:val="32"/>
                <w:szCs w:val="32"/>
              </w:rPr>
            </w:pPr>
            <w:r>
              <w:rPr>
                <w:rFonts w:hint="eastAsia" w:ascii="仿宋" w:hAnsi="仿宋" w:eastAsia="仿宋" w:cs="Arial"/>
                <w:bCs/>
                <w:kern w:val="0"/>
                <w:sz w:val="32"/>
                <w:szCs w:val="32"/>
              </w:rPr>
              <w:t>意见内容</w:t>
            </w:r>
          </w:p>
        </w:tc>
        <w:tc>
          <w:tcPr>
            <w:tcW w:w="4208" w:type="dxa"/>
            <w:vAlign w:val="center"/>
          </w:tcPr>
          <w:p>
            <w:pPr>
              <w:widowControl/>
              <w:adjustRightInd w:val="0"/>
              <w:snapToGrid w:val="0"/>
              <w:spacing w:beforeLines="10" w:afterLines="10"/>
              <w:jc w:val="center"/>
              <w:rPr>
                <w:rFonts w:ascii="仿宋" w:hAnsi="仿宋" w:eastAsia="仿宋" w:cs="Arial"/>
                <w:bCs/>
                <w:kern w:val="0"/>
                <w:sz w:val="32"/>
                <w:szCs w:val="32"/>
              </w:rPr>
            </w:pPr>
            <w:r>
              <w:rPr>
                <w:rFonts w:hint="eastAsia" w:ascii="仿宋" w:hAnsi="仿宋" w:eastAsia="仿宋" w:cs="Arial"/>
                <w:bCs/>
                <w:kern w:val="0"/>
                <w:sz w:val="32"/>
                <w:szCs w:val="32"/>
              </w:rPr>
              <w:t>意见来源（提出人及单位）</w:t>
            </w:r>
          </w:p>
        </w:tc>
        <w:tc>
          <w:tcPr>
            <w:tcW w:w="1417" w:type="dxa"/>
            <w:vAlign w:val="center"/>
          </w:tcPr>
          <w:p>
            <w:pPr>
              <w:widowControl/>
              <w:adjustRightInd w:val="0"/>
              <w:snapToGrid w:val="0"/>
              <w:spacing w:beforeLines="10" w:afterLines="10"/>
              <w:jc w:val="center"/>
              <w:rPr>
                <w:rFonts w:ascii="仿宋" w:hAnsi="仿宋" w:eastAsia="仿宋" w:cs="Arial"/>
                <w:bCs/>
                <w:kern w:val="0"/>
                <w:sz w:val="32"/>
                <w:szCs w:val="32"/>
              </w:rPr>
            </w:pPr>
            <w:r>
              <w:rPr>
                <w:rFonts w:hint="eastAsia" w:ascii="仿宋" w:hAnsi="仿宋" w:eastAsia="仿宋" w:cs="Arial"/>
                <w:bCs/>
                <w:kern w:val="0"/>
                <w:sz w:val="32"/>
                <w:szCs w:val="32"/>
              </w:rPr>
              <w:t>处理</w:t>
            </w:r>
          </w:p>
          <w:p>
            <w:pPr>
              <w:widowControl/>
              <w:adjustRightInd w:val="0"/>
              <w:snapToGrid w:val="0"/>
              <w:spacing w:beforeLines="10" w:afterLines="10"/>
              <w:jc w:val="center"/>
              <w:rPr>
                <w:rFonts w:ascii="仿宋" w:hAnsi="仿宋" w:eastAsia="仿宋" w:cs="Arial"/>
                <w:bCs/>
                <w:kern w:val="0"/>
                <w:sz w:val="32"/>
                <w:szCs w:val="32"/>
              </w:rPr>
            </w:pPr>
            <w:r>
              <w:rPr>
                <w:rFonts w:hint="eastAsia" w:ascii="仿宋" w:hAnsi="仿宋" w:eastAsia="仿宋" w:cs="Arial"/>
                <w:bCs/>
                <w:kern w:val="0"/>
                <w:sz w:val="32"/>
                <w:szCs w:val="32"/>
              </w:rPr>
              <w:t>意见</w:t>
            </w:r>
          </w:p>
        </w:tc>
        <w:tc>
          <w:tcPr>
            <w:tcW w:w="1032" w:type="dxa"/>
            <w:vAlign w:val="center"/>
          </w:tcPr>
          <w:p>
            <w:pPr>
              <w:widowControl/>
              <w:adjustRightInd w:val="0"/>
              <w:snapToGrid w:val="0"/>
              <w:spacing w:beforeLines="10" w:afterLines="10"/>
              <w:jc w:val="center"/>
              <w:rPr>
                <w:rFonts w:ascii="仿宋" w:hAnsi="仿宋" w:eastAsia="仿宋" w:cs="Arial"/>
                <w:bCs/>
                <w:kern w:val="0"/>
                <w:sz w:val="32"/>
                <w:szCs w:val="32"/>
              </w:rPr>
            </w:pPr>
            <w:r>
              <w:rPr>
                <w:rFonts w:hint="eastAsia" w:ascii="仿宋" w:hAnsi="仿宋" w:eastAsia="仿宋" w:cs="Arial"/>
                <w:bCs/>
                <w:kern w:val="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w:t>
            </w:r>
          </w:p>
        </w:tc>
        <w:tc>
          <w:tcPr>
            <w:tcW w:w="1679" w:type="dxa"/>
            <w:vAlign w:val="center"/>
          </w:tcPr>
          <w:p>
            <w:pPr>
              <w:widowControl/>
              <w:adjustRightInd w:val="0"/>
              <w:snapToGrid w:val="0"/>
              <w:jc w:val="center"/>
              <w:rPr>
                <w:rFonts w:ascii="仿宋" w:hAnsi="仿宋" w:eastAsia="仿宋"/>
                <w:sz w:val="24"/>
              </w:rPr>
            </w:pPr>
            <w:r>
              <w:rPr>
                <w:rFonts w:hint="eastAsia" w:ascii="仿宋" w:hAnsi="仿宋" w:eastAsia="仿宋"/>
                <w:sz w:val="24"/>
              </w:rPr>
              <w:t>1</w:t>
            </w:r>
          </w:p>
        </w:tc>
        <w:tc>
          <w:tcPr>
            <w:tcW w:w="5431" w:type="dxa"/>
            <w:vAlign w:val="center"/>
          </w:tcPr>
          <w:p>
            <w:pPr>
              <w:jc w:val="center"/>
              <w:rPr>
                <w:rFonts w:ascii="仿宋" w:hAnsi="仿宋" w:eastAsia="仿宋"/>
                <w:color w:val="000000"/>
                <w:sz w:val="24"/>
              </w:rPr>
            </w:pPr>
            <w:r>
              <w:rPr>
                <w:rFonts w:hint="eastAsia" w:ascii="仿宋" w:hAnsi="仿宋" w:eastAsia="仿宋"/>
                <w:color w:val="000000"/>
                <w:sz w:val="24"/>
              </w:rPr>
              <w:t>本标准为江西省地方标准，适用全省，建议将</w:t>
            </w:r>
            <w:r>
              <w:rPr>
                <w:rFonts w:ascii="仿宋" w:hAnsi="仿宋" w:eastAsia="仿宋"/>
                <w:color w:val="000000"/>
                <w:sz w:val="24"/>
              </w:rPr>
              <w:t>“</w:t>
            </w:r>
            <w:r>
              <w:rPr>
                <w:rFonts w:hint="eastAsia" w:ascii="仿宋" w:hAnsi="仿宋" w:eastAsia="仿宋"/>
                <w:color w:val="000000"/>
                <w:sz w:val="24"/>
              </w:rPr>
              <w:t>本标准适用于园林植物栽植土质量要求。省内其他地市亦可参照执行</w:t>
            </w:r>
            <w:r>
              <w:rPr>
                <w:rFonts w:ascii="仿宋" w:hAnsi="仿宋" w:eastAsia="仿宋"/>
                <w:color w:val="000000"/>
                <w:sz w:val="24"/>
              </w:rPr>
              <w:t>”</w:t>
            </w:r>
            <w:r>
              <w:rPr>
                <w:rFonts w:hint="eastAsia" w:ascii="仿宋" w:hAnsi="仿宋" w:eastAsia="仿宋"/>
                <w:color w:val="000000"/>
                <w:sz w:val="24"/>
              </w:rPr>
              <w:t>修改为“本标准适用于江西省园林植物栽植土质量要求。”</w:t>
            </w:r>
          </w:p>
          <w:p>
            <w:pPr>
              <w:adjustRightInd w:val="0"/>
              <w:snapToGrid w:val="0"/>
              <w:jc w:val="center"/>
              <w:rPr>
                <w:rFonts w:ascii="仿宋" w:hAnsi="仿宋" w:eastAsia="仿宋"/>
                <w:sz w:val="24"/>
              </w:rPr>
            </w:pP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宋小民</w:t>
            </w:r>
          </w:p>
          <w:p>
            <w:pPr>
              <w:widowControl/>
              <w:adjustRightInd w:val="0"/>
              <w:snapToGrid w:val="0"/>
              <w:jc w:val="center"/>
              <w:rPr>
                <w:rFonts w:ascii="仿宋" w:hAnsi="仿宋" w:eastAsia="仿宋"/>
                <w:sz w:val="24"/>
              </w:rPr>
            </w:pPr>
            <w:r>
              <w:rPr>
                <w:rFonts w:hint="eastAsia" w:ascii="仿宋" w:hAnsi="仿宋" w:eastAsia="仿宋"/>
                <w:sz w:val="24"/>
              </w:rPr>
              <w:t>江西省农业科学院蔬菜花卉研究所</w:t>
            </w:r>
          </w:p>
        </w:tc>
        <w:tc>
          <w:tcPr>
            <w:tcW w:w="1417" w:type="dxa"/>
            <w:vAlign w:val="center"/>
          </w:tcPr>
          <w:p>
            <w:pPr>
              <w:widowControl/>
              <w:adjustRightInd w:val="0"/>
              <w:snapToGrid w:val="0"/>
              <w:jc w:val="center"/>
              <w:rPr>
                <w:rFonts w:ascii="仿宋" w:hAnsi="仿宋" w:eastAsia="仿宋" w:cs="Arial"/>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2</w:t>
            </w:r>
          </w:p>
        </w:tc>
        <w:tc>
          <w:tcPr>
            <w:tcW w:w="1679" w:type="dxa"/>
            <w:vAlign w:val="center"/>
          </w:tcPr>
          <w:p>
            <w:pPr>
              <w:jc w:val="center"/>
              <w:rPr>
                <w:rFonts w:ascii="仿宋" w:hAnsi="仿宋" w:eastAsia="仿宋"/>
                <w:color w:val="000000"/>
                <w:kern w:val="0"/>
                <w:sz w:val="24"/>
              </w:rPr>
            </w:pPr>
            <w:r>
              <w:rPr>
                <w:rFonts w:hint="eastAsia" w:ascii="仿宋" w:hAnsi="仿宋" w:eastAsia="仿宋"/>
                <w:color w:val="000000"/>
                <w:kern w:val="0"/>
                <w:sz w:val="24"/>
              </w:rPr>
              <w:t>3.7</w:t>
            </w:r>
          </w:p>
        </w:tc>
        <w:tc>
          <w:tcPr>
            <w:tcW w:w="5431" w:type="dxa"/>
            <w:vAlign w:val="center"/>
          </w:tcPr>
          <w:p>
            <w:pPr>
              <w:jc w:val="center"/>
              <w:rPr>
                <w:rFonts w:ascii="仿宋" w:hAnsi="仿宋" w:eastAsia="仿宋"/>
                <w:color w:val="000000"/>
                <w:kern w:val="0"/>
                <w:sz w:val="24"/>
              </w:rPr>
            </w:pPr>
            <w:r>
              <w:rPr>
                <w:rFonts w:hint="eastAsia" w:ascii="仿宋" w:hAnsi="仿宋" w:eastAsia="仿宋"/>
                <w:color w:val="000000"/>
                <w:kern w:val="0"/>
                <w:sz w:val="24"/>
              </w:rPr>
              <w:t>建议将“设施环境”改为“设施条件”。</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宋小民</w:t>
            </w:r>
          </w:p>
          <w:p>
            <w:pPr>
              <w:widowControl/>
              <w:adjustRightInd w:val="0"/>
              <w:snapToGrid w:val="0"/>
              <w:jc w:val="center"/>
              <w:rPr>
                <w:rFonts w:ascii="仿宋" w:hAnsi="仿宋" w:eastAsia="仿宋"/>
                <w:sz w:val="24"/>
              </w:rPr>
            </w:pPr>
            <w:r>
              <w:rPr>
                <w:rFonts w:hint="eastAsia" w:ascii="仿宋" w:hAnsi="仿宋" w:eastAsia="仿宋"/>
                <w:sz w:val="24"/>
              </w:rPr>
              <w:t>江西省农业科学院蔬菜花卉研究所</w:t>
            </w:r>
          </w:p>
        </w:tc>
        <w:tc>
          <w:tcPr>
            <w:tcW w:w="1417" w:type="dxa"/>
            <w:vAlign w:val="center"/>
          </w:tcPr>
          <w:p>
            <w:pPr>
              <w:jc w:val="center"/>
              <w:rPr>
                <w:rFonts w:ascii="仿宋" w:hAnsi="仿宋" w:eastAsia="仿宋" w:cs="Arial"/>
                <w:kern w:val="0"/>
                <w:sz w:val="24"/>
              </w:rPr>
            </w:pPr>
          </w:p>
          <w:p>
            <w:pPr>
              <w:jc w:val="center"/>
              <w:rPr>
                <w:rFonts w:ascii="仿宋" w:hAnsi="仿宋" w:eastAsia="仿宋"/>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3</w:t>
            </w:r>
          </w:p>
        </w:tc>
        <w:tc>
          <w:tcPr>
            <w:tcW w:w="1679" w:type="dxa"/>
            <w:vAlign w:val="center"/>
          </w:tcPr>
          <w:p>
            <w:pPr>
              <w:jc w:val="center"/>
              <w:rPr>
                <w:rFonts w:ascii="仿宋" w:hAnsi="仿宋" w:eastAsia="仿宋"/>
                <w:color w:val="000000"/>
                <w:kern w:val="0"/>
                <w:sz w:val="24"/>
              </w:rPr>
            </w:pPr>
            <w:r>
              <w:rPr>
                <w:rFonts w:hint="eastAsia" w:ascii="仿宋" w:hAnsi="仿宋" w:eastAsia="仿宋"/>
                <w:color w:val="000000"/>
                <w:kern w:val="0"/>
                <w:sz w:val="24"/>
              </w:rPr>
              <w:t>附录A.2</w:t>
            </w:r>
          </w:p>
        </w:tc>
        <w:tc>
          <w:tcPr>
            <w:tcW w:w="5431" w:type="dxa"/>
            <w:vAlign w:val="center"/>
          </w:tcPr>
          <w:p>
            <w:pPr>
              <w:jc w:val="center"/>
              <w:rPr>
                <w:rFonts w:ascii="仿宋" w:hAnsi="仿宋" w:eastAsia="仿宋"/>
                <w:color w:val="000000"/>
                <w:kern w:val="0"/>
                <w:sz w:val="24"/>
              </w:rPr>
            </w:pPr>
            <w:r>
              <w:rPr>
                <w:rFonts w:hint="eastAsia" w:ascii="仿宋" w:hAnsi="仿宋" w:eastAsia="仿宋"/>
                <w:color w:val="000000"/>
                <w:kern w:val="0"/>
                <w:sz w:val="24"/>
              </w:rPr>
              <w:t>建议将“根据植土壤类型”的“植”删除。</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宋小民</w:t>
            </w:r>
          </w:p>
          <w:p>
            <w:pPr>
              <w:jc w:val="center"/>
              <w:rPr>
                <w:rFonts w:ascii="仿宋" w:hAnsi="仿宋" w:eastAsia="仿宋"/>
                <w:sz w:val="24"/>
              </w:rPr>
            </w:pPr>
            <w:r>
              <w:rPr>
                <w:rFonts w:hint="eastAsia" w:ascii="仿宋" w:hAnsi="仿宋" w:eastAsia="仿宋"/>
                <w:sz w:val="24"/>
              </w:rPr>
              <w:t>江西省农业科学院蔬菜花卉研究所</w:t>
            </w:r>
          </w:p>
        </w:tc>
        <w:tc>
          <w:tcPr>
            <w:tcW w:w="1417" w:type="dxa"/>
            <w:vAlign w:val="center"/>
          </w:tcPr>
          <w:p>
            <w:pPr>
              <w:jc w:val="center"/>
              <w:rPr>
                <w:rFonts w:ascii="仿宋" w:hAnsi="仿宋" w:eastAsia="仿宋" w:cs="Arial"/>
                <w:kern w:val="0"/>
                <w:sz w:val="24"/>
              </w:rPr>
            </w:pPr>
          </w:p>
          <w:p>
            <w:pPr>
              <w:jc w:val="center"/>
              <w:rPr>
                <w:rFonts w:ascii="仿宋" w:hAnsi="仿宋" w:eastAsia="仿宋"/>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4</w:t>
            </w:r>
          </w:p>
        </w:tc>
        <w:tc>
          <w:tcPr>
            <w:tcW w:w="1679" w:type="dxa"/>
            <w:vAlign w:val="center"/>
          </w:tcPr>
          <w:p>
            <w:pPr>
              <w:jc w:val="center"/>
              <w:rPr>
                <w:rFonts w:ascii="仿宋" w:hAnsi="仿宋" w:eastAsia="仿宋"/>
                <w:color w:val="000000"/>
                <w:kern w:val="0"/>
                <w:sz w:val="24"/>
              </w:rPr>
            </w:pPr>
            <w:r>
              <w:rPr>
                <w:rFonts w:hint="eastAsia" w:ascii="仿宋" w:hAnsi="仿宋" w:eastAsia="仿宋"/>
                <w:color w:val="000000"/>
                <w:kern w:val="0"/>
                <w:sz w:val="24"/>
              </w:rPr>
              <w:t>附录A.3；A.7.2；附录A.4</w:t>
            </w:r>
          </w:p>
          <w:p>
            <w:pPr>
              <w:widowControl/>
              <w:adjustRightInd w:val="0"/>
              <w:snapToGrid w:val="0"/>
              <w:jc w:val="center"/>
              <w:rPr>
                <w:rFonts w:ascii="仿宋" w:hAnsi="仿宋" w:eastAsia="仿宋" w:cs="Arial"/>
                <w:kern w:val="0"/>
                <w:sz w:val="24"/>
              </w:rPr>
            </w:pPr>
          </w:p>
        </w:tc>
        <w:tc>
          <w:tcPr>
            <w:tcW w:w="5431" w:type="dxa"/>
            <w:vAlign w:val="center"/>
          </w:tcPr>
          <w:p>
            <w:pPr>
              <w:jc w:val="center"/>
              <w:rPr>
                <w:rFonts w:ascii="仿宋" w:hAnsi="仿宋" w:eastAsia="仿宋"/>
                <w:color w:val="000000"/>
                <w:kern w:val="0"/>
                <w:sz w:val="24"/>
              </w:rPr>
            </w:pPr>
            <w:r>
              <w:rPr>
                <w:rFonts w:hint="eastAsia" w:ascii="仿宋" w:hAnsi="仿宋" w:eastAsia="仿宋"/>
                <w:color w:val="000000"/>
                <w:kern w:val="0"/>
                <w:sz w:val="24"/>
              </w:rPr>
              <w:t>单位或时间要统一，厘米-用cm表示，天-用d表示；写法要统一，有“5～10个”，又有“5 个～10 个”。</w:t>
            </w:r>
          </w:p>
          <w:p>
            <w:pPr>
              <w:adjustRightInd w:val="0"/>
              <w:snapToGrid w:val="0"/>
              <w:jc w:val="center"/>
              <w:rPr>
                <w:rFonts w:ascii="仿宋" w:hAnsi="仿宋" w:eastAsia="仿宋"/>
                <w:sz w:val="24"/>
              </w:rPr>
            </w:pP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宋小民</w:t>
            </w:r>
          </w:p>
          <w:p>
            <w:pPr>
              <w:widowControl/>
              <w:adjustRightInd w:val="0"/>
              <w:snapToGrid w:val="0"/>
              <w:jc w:val="center"/>
              <w:rPr>
                <w:rFonts w:ascii="仿宋" w:hAnsi="仿宋" w:eastAsia="仿宋"/>
                <w:sz w:val="24"/>
              </w:rPr>
            </w:pPr>
            <w:r>
              <w:rPr>
                <w:rFonts w:hint="eastAsia" w:ascii="仿宋" w:hAnsi="仿宋" w:eastAsia="仿宋"/>
                <w:sz w:val="24"/>
              </w:rPr>
              <w:t>江西省农业科学院蔬菜花卉研究所</w:t>
            </w:r>
          </w:p>
        </w:tc>
        <w:tc>
          <w:tcPr>
            <w:tcW w:w="1417" w:type="dxa"/>
            <w:vAlign w:val="center"/>
          </w:tcPr>
          <w:p>
            <w:pPr>
              <w:jc w:val="center"/>
              <w:rPr>
                <w:rFonts w:ascii="仿宋" w:hAnsi="仿宋" w:eastAsia="仿宋"/>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5</w:t>
            </w:r>
          </w:p>
        </w:tc>
        <w:tc>
          <w:tcPr>
            <w:tcW w:w="1679" w:type="dxa"/>
            <w:vAlign w:val="center"/>
          </w:tcPr>
          <w:p>
            <w:pPr>
              <w:jc w:val="center"/>
              <w:rPr>
                <w:rFonts w:ascii="仿宋" w:hAnsi="仿宋" w:eastAsia="仿宋"/>
                <w:color w:val="000000"/>
                <w:kern w:val="0"/>
                <w:sz w:val="24"/>
              </w:rPr>
            </w:pPr>
            <w:r>
              <w:rPr>
                <w:rFonts w:hint="eastAsia" w:ascii="仿宋" w:hAnsi="仿宋" w:eastAsia="仿宋"/>
                <w:color w:val="000000"/>
                <w:kern w:val="0"/>
                <w:sz w:val="24"/>
              </w:rPr>
              <w:t>附录A.5</w:t>
            </w:r>
            <w:r>
              <w:rPr>
                <w:rFonts w:hint="eastAsia" w:ascii="仿宋" w:hAnsi="仿宋" w:eastAsia="仿宋"/>
                <w:sz w:val="24"/>
              </w:rPr>
              <w:t>.3</w:t>
            </w:r>
          </w:p>
        </w:tc>
        <w:tc>
          <w:tcPr>
            <w:tcW w:w="5431" w:type="dxa"/>
            <w:vAlign w:val="center"/>
          </w:tcPr>
          <w:p>
            <w:pPr>
              <w:jc w:val="center"/>
              <w:rPr>
                <w:rFonts w:ascii="仿宋" w:hAnsi="仿宋" w:eastAsia="仿宋"/>
                <w:color w:val="000000"/>
                <w:kern w:val="0"/>
                <w:sz w:val="24"/>
              </w:rPr>
            </w:pPr>
            <w:r>
              <w:rPr>
                <w:rFonts w:hint="eastAsia" w:ascii="仿宋" w:hAnsi="仿宋" w:eastAsia="仿宋"/>
                <w:sz w:val="24"/>
              </w:rPr>
              <w:t>建议将“</w:t>
            </w:r>
            <w:r>
              <w:rPr>
                <w:rFonts w:ascii="仿宋" w:hAnsi="仿宋" w:eastAsia="仿宋"/>
                <w:sz w:val="24"/>
              </w:rPr>
              <w:t>高大乔灌木</w:t>
            </w:r>
            <w:r>
              <w:rPr>
                <w:rFonts w:hint="eastAsia" w:ascii="仿宋" w:hAnsi="仿宋" w:eastAsia="仿宋"/>
                <w:sz w:val="24"/>
              </w:rPr>
              <w:t>采</w:t>
            </w:r>
            <w:r>
              <w:rPr>
                <w:rFonts w:ascii="仿宋" w:hAnsi="仿宋" w:eastAsia="仿宋"/>
                <w:sz w:val="24"/>
              </w:rPr>
              <w:t>0</w:t>
            </w:r>
            <w:r>
              <w:rPr>
                <w:rFonts w:hint="eastAsia" w:ascii="仿宋" w:hAnsi="仿宋" w:eastAsia="仿宋"/>
                <w:sz w:val="24"/>
              </w:rPr>
              <w:t>c</w:t>
            </w:r>
            <w:r>
              <w:rPr>
                <w:rFonts w:ascii="仿宋" w:hAnsi="仿宋" w:eastAsia="仿宋"/>
                <w:sz w:val="24"/>
              </w:rPr>
              <w:t>m</w:t>
            </w:r>
            <w:r>
              <w:rPr>
                <w:rFonts w:hint="eastAsia" w:ascii="仿宋" w:hAnsi="仿宋" w:eastAsia="仿宋"/>
                <w:sz w:val="24"/>
              </w:rPr>
              <w:t>～30c</w:t>
            </w:r>
            <w:r>
              <w:rPr>
                <w:rFonts w:ascii="仿宋" w:hAnsi="仿宋" w:eastAsia="仿宋"/>
                <w:sz w:val="24"/>
              </w:rPr>
              <w:t>m、30</w:t>
            </w:r>
            <w:r>
              <w:rPr>
                <w:rFonts w:hint="eastAsia" w:ascii="仿宋" w:hAnsi="仿宋" w:eastAsia="仿宋"/>
                <w:sz w:val="24"/>
              </w:rPr>
              <w:t>cm</w:t>
            </w:r>
            <w:r>
              <w:rPr>
                <w:rFonts w:ascii="仿宋" w:hAnsi="仿宋" w:eastAsia="仿宋"/>
                <w:sz w:val="24"/>
              </w:rPr>
              <w:t xml:space="preserve"> </w:t>
            </w:r>
            <w:r>
              <w:rPr>
                <w:rFonts w:hint="eastAsia" w:ascii="仿宋" w:hAnsi="仿宋" w:eastAsia="仿宋"/>
                <w:sz w:val="24"/>
              </w:rPr>
              <w:t>～9</w:t>
            </w:r>
            <w:r>
              <w:rPr>
                <w:rFonts w:ascii="仿宋" w:hAnsi="仿宋" w:eastAsia="仿宋"/>
                <w:sz w:val="24"/>
              </w:rPr>
              <w:t>0</w:t>
            </w:r>
            <w:r>
              <w:rPr>
                <w:rFonts w:hint="eastAsia" w:ascii="仿宋" w:hAnsi="仿宋" w:eastAsia="仿宋"/>
                <w:sz w:val="24"/>
              </w:rPr>
              <w:t>cm</w:t>
            </w:r>
            <w:r>
              <w:rPr>
                <w:rFonts w:ascii="仿宋" w:hAnsi="仿宋" w:eastAsia="仿宋"/>
                <w:sz w:val="24"/>
              </w:rPr>
              <w:t>二层</w:t>
            </w:r>
            <w:r>
              <w:rPr>
                <w:rFonts w:hint="eastAsia" w:ascii="仿宋" w:hAnsi="仿宋" w:eastAsia="仿宋"/>
                <w:sz w:val="24"/>
              </w:rPr>
              <w:t>或.......”修改为“</w:t>
            </w:r>
            <w:r>
              <w:rPr>
                <w:rFonts w:ascii="仿宋" w:hAnsi="仿宋" w:eastAsia="仿宋"/>
                <w:sz w:val="24"/>
              </w:rPr>
              <w:t>高大乔灌木</w:t>
            </w:r>
            <w:r>
              <w:rPr>
                <w:rFonts w:hint="eastAsia" w:ascii="仿宋" w:hAnsi="仿宋" w:eastAsia="仿宋"/>
                <w:sz w:val="24"/>
              </w:rPr>
              <w:t>采</w:t>
            </w:r>
            <w:r>
              <w:rPr>
                <w:rFonts w:ascii="仿宋" w:hAnsi="仿宋" w:eastAsia="仿宋"/>
                <w:sz w:val="24"/>
              </w:rPr>
              <w:t>0</w:t>
            </w:r>
            <w:r>
              <w:rPr>
                <w:rFonts w:hint="eastAsia" w:ascii="仿宋" w:hAnsi="仿宋" w:eastAsia="仿宋"/>
                <w:sz w:val="24"/>
              </w:rPr>
              <w:t>c</w:t>
            </w:r>
            <w:r>
              <w:rPr>
                <w:rFonts w:ascii="仿宋" w:hAnsi="仿宋" w:eastAsia="仿宋"/>
                <w:sz w:val="24"/>
              </w:rPr>
              <w:t>m</w:t>
            </w:r>
            <w:r>
              <w:rPr>
                <w:rFonts w:hint="eastAsia" w:ascii="仿宋" w:hAnsi="仿宋" w:eastAsia="仿宋"/>
                <w:sz w:val="24"/>
              </w:rPr>
              <w:t>～30c</w:t>
            </w:r>
            <w:r>
              <w:rPr>
                <w:rFonts w:ascii="仿宋" w:hAnsi="仿宋" w:eastAsia="仿宋"/>
                <w:sz w:val="24"/>
              </w:rPr>
              <w:t>m、30</w:t>
            </w:r>
            <w:r>
              <w:rPr>
                <w:rFonts w:hint="eastAsia" w:ascii="仿宋" w:hAnsi="仿宋" w:eastAsia="仿宋"/>
                <w:sz w:val="24"/>
              </w:rPr>
              <w:t>cm</w:t>
            </w:r>
            <w:r>
              <w:rPr>
                <w:rFonts w:ascii="仿宋" w:hAnsi="仿宋" w:eastAsia="仿宋"/>
                <w:sz w:val="24"/>
              </w:rPr>
              <w:t xml:space="preserve"> </w:t>
            </w:r>
            <w:r>
              <w:rPr>
                <w:rFonts w:hint="eastAsia" w:ascii="仿宋" w:hAnsi="仿宋" w:eastAsia="仿宋"/>
                <w:sz w:val="24"/>
              </w:rPr>
              <w:t>～6</w:t>
            </w:r>
            <w:r>
              <w:rPr>
                <w:rFonts w:ascii="仿宋" w:hAnsi="仿宋" w:eastAsia="仿宋"/>
                <w:sz w:val="24"/>
              </w:rPr>
              <w:t>0</w:t>
            </w:r>
            <w:r>
              <w:rPr>
                <w:rFonts w:hint="eastAsia" w:ascii="仿宋" w:hAnsi="仿宋" w:eastAsia="仿宋"/>
                <w:sz w:val="24"/>
              </w:rPr>
              <w:t>cm</w:t>
            </w:r>
            <w:r>
              <w:rPr>
                <w:rFonts w:ascii="仿宋" w:hAnsi="仿宋" w:eastAsia="仿宋"/>
                <w:sz w:val="24"/>
              </w:rPr>
              <w:t>二层</w:t>
            </w:r>
            <w:r>
              <w:rPr>
                <w:rFonts w:hint="eastAsia" w:ascii="仿宋" w:hAnsi="仿宋" w:eastAsia="仿宋"/>
                <w:sz w:val="24"/>
              </w:rPr>
              <w:t>或......”。</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宋小民</w:t>
            </w:r>
          </w:p>
          <w:p>
            <w:pPr>
              <w:widowControl/>
              <w:adjustRightInd w:val="0"/>
              <w:snapToGrid w:val="0"/>
              <w:jc w:val="center"/>
              <w:rPr>
                <w:rFonts w:ascii="仿宋" w:hAnsi="仿宋" w:eastAsia="仿宋"/>
                <w:sz w:val="24"/>
              </w:rPr>
            </w:pPr>
            <w:r>
              <w:rPr>
                <w:rFonts w:hint="eastAsia" w:ascii="仿宋" w:hAnsi="仿宋" w:eastAsia="仿宋"/>
                <w:sz w:val="24"/>
              </w:rPr>
              <w:t>江西省农业科学院蔬菜花卉研究所</w:t>
            </w:r>
          </w:p>
        </w:tc>
        <w:tc>
          <w:tcPr>
            <w:tcW w:w="1417" w:type="dxa"/>
            <w:vAlign w:val="center"/>
          </w:tcPr>
          <w:p>
            <w:pPr>
              <w:jc w:val="center"/>
              <w:rPr>
                <w:rFonts w:ascii="仿宋" w:hAnsi="仿宋" w:eastAsia="仿宋"/>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6</w:t>
            </w:r>
          </w:p>
        </w:tc>
        <w:tc>
          <w:tcPr>
            <w:tcW w:w="1679" w:type="dxa"/>
            <w:vAlign w:val="center"/>
          </w:tcPr>
          <w:p>
            <w:pPr>
              <w:jc w:val="center"/>
              <w:rPr>
                <w:rFonts w:ascii="仿宋" w:hAnsi="仿宋" w:eastAsia="仿宋"/>
                <w:sz w:val="24"/>
              </w:rPr>
            </w:pPr>
            <w:r>
              <w:rPr>
                <w:rFonts w:hint="eastAsia" w:ascii="仿宋" w:hAnsi="仿宋" w:eastAsia="仿宋"/>
                <w:sz w:val="24"/>
              </w:rPr>
              <w:t>3</w:t>
            </w:r>
            <w:r>
              <w:rPr>
                <w:rFonts w:ascii="仿宋" w:hAnsi="仿宋" w:eastAsia="仿宋"/>
                <w:sz w:val="24"/>
              </w:rPr>
              <w:t>.16</w:t>
            </w:r>
          </w:p>
        </w:tc>
        <w:tc>
          <w:tcPr>
            <w:tcW w:w="5431" w:type="dxa"/>
            <w:vAlign w:val="center"/>
          </w:tcPr>
          <w:p>
            <w:pPr>
              <w:jc w:val="center"/>
              <w:rPr>
                <w:rFonts w:ascii="仿宋" w:hAnsi="仿宋" w:eastAsia="仿宋"/>
                <w:sz w:val="24"/>
              </w:rPr>
            </w:pPr>
            <w:r>
              <w:rPr>
                <w:rFonts w:hint="eastAsia" w:ascii="仿宋" w:hAnsi="仿宋" w:eastAsia="仿宋"/>
                <w:sz w:val="24"/>
              </w:rPr>
              <w:t>“石灰反应”未具体定义，建议补充。</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刘益仁</w:t>
            </w:r>
          </w:p>
          <w:p>
            <w:pPr>
              <w:widowControl/>
              <w:adjustRightInd w:val="0"/>
              <w:snapToGrid w:val="0"/>
              <w:jc w:val="center"/>
              <w:rPr>
                <w:rFonts w:ascii="仿宋" w:hAnsi="仿宋" w:eastAsia="仿宋"/>
                <w:sz w:val="24"/>
              </w:rPr>
            </w:pPr>
            <w:r>
              <w:rPr>
                <w:rFonts w:hint="eastAsia" w:ascii="仿宋" w:hAnsi="仿宋" w:eastAsia="仿宋"/>
                <w:sz w:val="24"/>
              </w:rPr>
              <w:t>江西省农业科学院土壤肥料与资源环境研究所</w:t>
            </w:r>
          </w:p>
        </w:tc>
        <w:tc>
          <w:tcPr>
            <w:tcW w:w="1417" w:type="dxa"/>
            <w:vAlign w:val="center"/>
          </w:tcPr>
          <w:p>
            <w:pPr>
              <w:jc w:val="center"/>
              <w:rPr>
                <w:rFonts w:ascii="仿宋" w:hAnsi="仿宋" w:eastAsia="仿宋" w:cs="Arial"/>
                <w:kern w:val="0"/>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7</w:t>
            </w:r>
          </w:p>
        </w:tc>
        <w:tc>
          <w:tcPr>
            <w:tcW w:w="1679" w:type="dxa"/>
            <w:vAlign w:val="center"/>
          </w:tcPr>
          <w:p>
            <w:pPr>
              <w:jc w:val="center"/>
              <w:rPr>
                <w:rFonts w:ascii="仿宋" w:hAnsi="仿宋" w:eastAsia="仿宋"/>
                <w:sz w:val="24"/>
              </w:rPr>
            </w:pPr>
            <w:r>
              <w:rPr>
                <w:rFonts w:hint="eastAsia" w:ascii="仿宋" w:hAnsi="仿宋" w:eastAsia="仿宋"/>
                <w:sz w:val="24"/>
              </w:rPr>
              <w:t>3</w:t>
            </w:r>
            <w:r>
              <w:rPr>
                <w:rFonts w:ascii="仿宋" w:hAnsi="仿宋" w:eastAsia="仿宋"/>
                <w:sz w:val="24"/>
              </w:rPr>
              <w:t>.20</w:t>
            </w:r>
          </w:p>
        </w:tc>
        <w:tc>
          <w:tcPr>
            <w:tcW w:w="5431" w:type="dxa"/>
            <w:vAlign w:val="center"/>
          </w:tcPr>
          <w:p>
            <w:pPr>
              <w:jc w:val="center"/>
              <w:rPr>
                <w:rFonts w:ascii="仿宋" w:hAnsi="仿宋" w:eastAsia="仿宋"/>
                <w:sz w:val="24"/>
              </w:rPr>
            </w:pPr>
            <w:r>
              <w:rPr>
                <w:rFonts w:hint="eastAsia" w:ascii="仿宋" w:hAnsi="仿宋" w:eastAsia="仿宋"/>
                <w:sz w:val="24"/>
              </w:rPr>
              <w:t>“有效土层”定义不准，</w:t>
            </w:r>
            <w:r>
              <w:rPr>
                <w:rFonts w:ascii="仿宋" w:hAnsi="仿宋" w:eastAsia="仿宋"/>
                <w:sz w:val="24"/>
              </w:rPr>
              <w:t>有效土层厚度：作物能够利用的母质层以上的土体总厚度；当有障碍层时，为障碍层以上的土层厚度。</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刘益仁</w:t>
            </w:r>
          </w:p>
          <w:p>
            <w:pPr>
              <w:widowControl/>
              <w:adjustRightInd w:val="0"/>
              <w:snapToGrid w:val="0"/>
              <w:jc w:val="center"/>
              <w:rPr>
                <w:rFonts w:ascii="仿宋" w:hAnsi="仿宋" w:eastAsia="仿宋"/>
                <w:sz w:val="24"/>
              </w:rPr>
            </w:pPr>
            <w:r>
              <w:rPr>
                <w:rFonts w:hint="eastAsia" w:ascii="仿宋" w:hAnsi="仿宋" w:eastAsia="仿宋"/>
                <w:sz w:val="24"/>
              </w:rPr>
              <w:t>江西省农业科学院土壤肥料与资源环境研究所</w:t>
            </w:r>
          </w:p>
        </w:tc>
        <w:tc>
          <w:tcPr>
            <w:tcW w:w="1417" w:type="dxa"/>
            <w:vAlign w:val="center"/>
          </w:tcPr>
          <w:p>
            <w:pPr>
              <w:jc w:val="center"/>
              <w:rPr>
                <w:rFonts w:ascii="仿宋" w:hAnsi="仿宋" w:eastAsia="仿宋" w:cs="Arial"/>
                <w:kern w:val="0"/>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8</w:t>
            </w:r>
          </w:p>
        </w:tc>
        <w:tc>
          <w:tcPr>
            <w:tcW w:w="1679" w:type="dxa"/>
            <w:vAlign w:val="center"/>
          </w:tcPr>
          <w:p>
            <w:pPr>
              <w:jc w:val="center"/>
              <w:rPr>
                <w:rFonts w:ascii="仿宋" w:hAnsi="仿宋" w:eastAsia="仿宋"/>
                <w:sz w:val="24"/>
              </w:rPr>
            </w:pPr>
            <w:r>
              <w:rPr>
                <w:rFonts w:hint="eastAsia" w:ascii="仿宋" w:hAnsi="仿宋" w:eastAsia="仿宋"/>
                <w:sz w:val="24"/>
              </w:rPr>
              <w:t>3</w:t>
            </w:r>
            <w:r>
              <w:rPr>
                <w:rFonts w:ascii="仿宋" w:hAnsi="仿宋" w:eastAsia="仿宋"/>
                <w:sz w:val="24"/>
              </w:rPr>
              <w:t>.21</w:t>
            </w:r>
          </w:p>
        </w:tc>
        <w:tc>
          <w:tcPr>
            <w:tcW w:w="5431" w:type="dxa"/>
            <w:vAlign w:val="center"/>
          </w:tcPr>
          <w:p>
            <w:pPr>
              <w:jc w:val="center"/>
              <w:rPr>
                <w:rFonts w:ascii="仿宋" w:hAnsi="仿宋" w:eastAsia="仿宋"/>
                <w:sz w:val="24"/>
              </w:rPr>
            </w:pPr>
            <w:r>
              <w:rPr>
                <w:rFonts w:hint="eastAsia" w:ascii="仿宋" w:hAnsi="仿宋" w:eastAsia="仿宋"/>
                <w:sz w:val="24"/>
              </w:rPr>
              <w:t>石砾的概念不准确。</w:t>
            </w:r>
            <w:r>
              <w:rPr>
                <w:rFonts w:ascii="仿宋" w:hAnsi="仿宋" w:eastAsia="仿宋"/>
                <w:sz w:val="24"/>
              </w:rPr>
              <w:t>砾石:粒级介于2~256mm的沉积物。分为粗砾(64~256mm)、中砾(8~64mm)和细砾(2~8mm)三种</w:t>
            </w:r>
            <w:r>
              <w:rPr>
                <w:rFonts w:hint="eastAsia" w:ascii="仿宋" w:hAnsi="仿宋" w:eastAsia="仿宋"/>
                <w:sz w:val="24"/>
              </w:rPr>
              <w:t>，</w:t>
            </w:r>
            <w:r>
              <w:rPr>
                <w:rFonts w:ascii="仿宋" w:hAnsi="仿宋" w:eastAsia="仿宋"/>
                <w:sz w:val="24"/>
              </w:rPr>
              <w:t>砂石:粒径为0.074~2mm的矿物或岩石颗粒称为砂，粒径大于2mm的称为砾或角砾</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刘益仁</w:t>
            </w:r>
          </w:p>
          <w:p>
            <w:pPr>
              <w:widowControl/>
              <w:adjustRightInd w:val="0"/>
              <w:snapToGrid w:val="0"/>
              <w:jc w:val="center"/>
              <w:rPr>
                <w:rFonts w:ascii="仿宋" w:hAnsi="仿宋" w:eastAsia="仿宋"/>
                <w:sz w:val="24"/>
              </w:rPr>
            </w:pPr>
            <w:r>
              <w:rPr>
                <w:rFonts w:hint="eastAsia" w:ascii="仿宋" w:hAnsi="仿宋" w:eastAsia="仿宋"/>
                <w:sz w:val="24"/>
              </w:rPr>
              <w:t>江西省农业科学院土壤肥料与资源环境研究所</w:t>
            </w:r>
          </w:p>
        </w:tc>
        <w:tc>
          <w:tcPr>
            <w:tcW w:w="1417" w:type="dxa"/>
            <w:vAlign w:val="center"/>
          </w:tcPr>
          <w:p>
            <w:pPr>
              <w:jc w:val="center"/>
              <w:rPr>
                <w:rFonts w:ascii="仿宋" w:hAnsi="仿宋" w:eastAsia="仿宋" w:cs="Arial"/>
                <w:kern w:val="0"/>
                <w:sz w:val="24"/>
              </w:rPr>
            </w:pPr>
            <w:r>
              <w:rPr>
                <w:rFonts w:ascii="仿宋" w:hAnsi="仿宋" w:eastAsia="仿宋" w:cs="Arial"/>
                <w:kern w:val="0"/>
                <w:sz w:val="24"/>
              </w:rPr>
              <w:t>部分采纳</w:t>
            </w:r>
          </w:p>
        </w:tc>
        <w:tc>
          <w:tcPr>
            <w:tcW w:w="1032" w:type="dxa"/>
            <w:vMerge w:val="restart"/>
            <w:vAlign w:val="center"/>
          </w:tcPr>
          <w:p>
            <w:pPr>
              <w:jc w:val="center"/>
              <w:rPr>
                <w:rFonts w:ascii="仿宋" w:hAnsi="仿宋" w:eastAsia="仿宋" w:cs="Arial"/>
                <w:kern w:val="0"/>
                <w:szCs w:val="21"/>
              </w:rPr>
            </w:pPr>
            <w:r>
              <w:rPr>
                <w:rFonts w:ascii="仿宋" w:hAnsi="仿宋" w:eastAsia="仿宋" w:cs="Arial"/>
                <w:kern w:val="0"/>
                <w:szCs w:val="21"/>
              </w:rPr>
              <w:t>土壤学的定义与</w:t>
            </w:r>
            <w:r>
              <w:rPr>
                <w:rFonts w:hint="eastAsia" w:ascii="仿宋" w:hAnsi="仿宋" w:eastAsia="仿宋" w:cs="Arial"/>
                <w:kern w:val="0"/>
                <w:szCs w:val="21"/>
              </w:rPr>
              <w:t>绿化种植土壤行业标准的定义略有不同。</w:t>
            </w:r>
          </w:p>
          <w:p>
            <w:pPr>
              <w:jc w:val="center"/>
              <w:rPr>
                <w:rFonts w:ascii="仿宋" w:hAnsi="仿宋" w:eastAsia="仿宋"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9</w:t>
            </w:r>
          </w:p>
        </w:tc>
        <w:tc>
          <w:tcPr>
            <w:tcW w:w="1679" w:type="dxa"/>
            <w:vAlign w:val="center"/>
          </w:tcPr>
          <w:p>
            <w:pPr>
              <w:jc w:val="center"/>
              <w:rPr>
                <w:rFonts w:ascii="仿宋" w:hAnsi="仿宋" w:eastAsia="仿宋"/>
                <w:sz w:val="24"/>
              </w:rPr>
            </w:pPr>
            <w:r>
              <w:rPr>
                <w:rFonts w:ascii="仿宋" w:hAnsi="仿宋" w:eastAsia="仿宋"/>
                <w:sz w:val="24"/>
              </w:rPr>
              <w:t>3.23</w:t>
            </w:r>
          </w:p>
        </w:tc>
        <w:tc>
          <w:tcPr>
            <w:tcW w:w="5431" w:type="dxa"/>
            <w:vAlign w:val="center"/>
          </w:tcPr>
          <w:p>
            <w:pPr>
              <w:jc w:val="center"/>
              <w:rPr>
                <w:rFonts w:ascii="仿宋" w:hAnsi="仿宋" w:eastAsia="仿宋"/>
                <w:sz w:val="24"/>
              </w:rPr>
            </w:pPr>
            <w:r>
              <w:rPr>
                <w:rFonts w:hint="eastAsia" w:ascii="仿宋" w:hAnsi="仿宋" w:eastAsia="仿宋"/>
                <w:sz w:val="24"/>
              </w:rPr>
              <w:t>“入渗率”概念不准确，</w:t>
            </w:r>
            <w:r>
              <w:rPr>
                <w:rFonts w:ascii="仿宋" w:hAnsi="仿宋" w:eastAsia="仿宋"/>
                <w:sz w:val="24"/>
              </w:rPr>
              <w:t>土壤入渗率，又称土壤入渗速率或土壤渗透速率，是指单位时间内地表单位面积土壤的入渗水量。</w:t>
            </w:r>
            <w:r>
              <w:rPr>
                <w:rFonts w:hint="eastAsia" w:ascii="仿宋" w:hAnsi="仿宋" w:eastAsia="仿宋"/>
                <w:sz w:val="24"/>
              </w:rPr>
              <w:t>并未提及饱和还是近饱和。</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刘益仁</w:t>
            </w:r>
          </w:p>
          <w:p>
            <w:pPr>
              <w:widowControl/>
              <w:adjustRightInd w:val="0"/>
              <w:snapToGrid w:val="0"/>
              <w:jc w:val="center"/>
              <w:rPr>
                <w:rFonts w:ascii="仿宋" w:hAnsi="仿宋" w:eastAsia="仿宋"/>
                <w:sz w:val="24"/>
              </w:rPr>
            </w:pPr>
            <w:r>
              <w:rPr>
                <w:rFonts w:hint="eastAsia" w:ascii="仿宋" w:hAnsi="仿宋" w:eastAsia="仿宋"/>
                <w:sz w:val="24"/>
              </w:rPr>
              <w:t>江西省农业科学院土壤肥料与资源环境研究所</w:t>
            </w:r>
          </w:p>
        </w:tc>
        <w:tc>
          <w:tcPr>
            <w:tcW w:w="1417" w:type="dxa"/>
            <w:vAlign w:val="center"/>
          </w:tcPr>
          <w:p>
            <w:pPr>
              <w:jc w:val="center"/>
              <w:rPr>
                <w:rFonts w:ascii="仿宋" w:hAnsi="仿宋" w:eastAsia="仿宋" w:cs="Arial"/>
                <w:kern w:val="0"/>
                <w:sz w:val="24"/>
              </w:rPr>
            </w:pPr>
            <w:r>
              <w:rPr>
                <w:rFonts w:ascii="仿宋" w:hAnsi="仿宋" w:eastAsia="仿宋" w:cs="Arial"/>
                <w:kern w:val="0"/>
                <w:sz w:val="24"/>
              </w:rPr>
              <w:t>部分采纳</w:t>
            </w:r>
          </w:p>
        </w:tc>
        <w:tc>
          <w:tcPr>
            <w:tcW w:w="1032" w:type="dxa"/>
            <w:vMerge w:val="continue"/>
            <w:vAlign w:val="center"/>
          </w:tcPr>
          <w:p>
            <w:pPr>
              <w:jc w:val="center"/>
              <w:rPr>
                <w:rFonts w:ascii="仿宋" w:hAnsi="仿宋" w:eastAsia="仿宋"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10</w:t>
            </w:r>
          </w:p>
        </w:tc>
        <w:tc>
          <w:tcPr>
            <w:tcW w:w="1679" w:type="dxa"/>
            <w:vAlign w:val="center"/>
          </w:tcPr>
          <w:p>
            <w:pPr>
              <w:jc w:val="center"/>
              <w:rPr>
                <w:rFonts w:ascii="仿宋" w:hAnsi="仿宋" w:eastAsia="仿宋"/>
                <w:sz w:val="24"/>
              </w:rPr>
            </w:pPr>
            <w:r>
              <w:rPr>
                <w:rFonts w:hint="eastAsia" w:ascii="仿宋" w:hAnsi="仿宋" w:eastAsia="仿宋"/>
                <w:sz w:val="24"/>
              </w:rPr>
              <w:t>5</w:t>
            </w:r>
            <w:r>
              <w:rPr>
                <w:rFonts w:ascii="仿宋" w:hAnsi="仿宋" w:eastAsia="仿宋"/>
                <w:sz w:val="24"/>
              </w:rPr>
              <w:t>.1.3</w:t>
            </w:r>
          </w:p>
        </w:tc>
        <w:tc>
          <w:tcPr>
            <w:tcW w:w="5431" w:type="dxa"/>
            <w:vAlign w:val="center"/>
          </w:tcPr>
          <w:p>
            <w:pPr>
              <w:jc w:val="center"/>
              <w:rPr>
                <w:rFonts w:ascii="仿宋" w:hAnsi="仿宋" w:eastAsia="仿宋"/>
                <w:sz w:val="24"/>
              </w:rPr>
            </w:pPr>
            <w:r>
              <w:rPr>
                <w:rFonts w:hint="eastAsia" w:ascii="仿宋" w:hAnsi="仿宋" w:eastAsia="仿宋"/>
                <w:sz w:val="24"/>
              </w:rPr>
              <w:t>建议删除，酸性植物的适宜范围较大，不一定就是5</w:t>
            </w:r>
            <w:r>
              <w:rPr>
                <w:rFonts w:ascii="仿宋" w:hAnsi="仿宋" w:eastAsia="仿宋"/>
                <w:sz w:val="24"/>
              </w:rPr>
              <w:t>.0-6.5</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刘益仁</w:t>
            </w:r>
          </w:p>
          <w:p>
            <w:pPr>
              <w:widowControl/>
              <w:adjustRightInd w:val="0"/>
              <w:snapToGrid w:val="0"/>
              <w:jc w:val="center"/>
              <w:rPr>
                <w:rFonts w:ascii="仿宋" w:hAnsi="仿宋" w:eastAsia="仿宋"/>
                <w:sz w:val="24"/>
              </w:rPr>
            </w:pPr>
            <w:r>
              <w:rPr>
                <w:rFonts w:hint="eastAsia" w:ascii="仿宋" w:hAnsi="仿宋" w:eastAsia="仿宋"/>
                <w:sz w:val="24"/>
              </w:rPr>
              <w:t>江西省农业科学院土壤肥料与资源环境研究所</w:t>
            </w:r>
          </w:p>
        </w:tc>
        <w:tc>
          <w:tcPr>
            <w:tcW w:w="1417" w:type="dxa"/>
            <w:vAlign w:val="center"/>
          </w:tcPr>
          <w:p>
            <w:pPr>
              <w:jc w:val="center"/>
              <w:rPr>
                <w:rFonts w:ascii="仿宋" w:hAnsi="仿宋" w:eastAsia="仿宋" w:cs="Arial"/>
                <w:kern w:val="0"/>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11</w:t>
            </w:r>
          </w:p>
        </w:tc>
        <w:tc>
          <w:tcPr>
            <w:tcW w:w="1679" w:type="dxa"/>
            <w:vAlign w:val="center"/>
          </w:tcPr>
          <w:p>
            <w:pPr>
              <w:jc w:val="center"/>
              <w:rPr>
                <w:rFonts w:ascii="仿宋" w:hAnsi="仿宋" w:eastAsia="仿宋"/>
                <w:sz w:val="24"/>
              </w:rPr>
            </w:pPr>
            <w:r>
              <w:rPr>
                <w:rFonts w:hint="eastAsia" w:ascii="仿宋" w:hAnsi="仿宋" w:eastAsia="仿宋"/>
                <w:sz w:val="24"/>
              </w:rPr>
              <w:t>5</w:t>
            </w:r>
            <w:r>
              <w:rPr>
                <w:rFonts w:ascii="仿宋" w:hAnsi="仿宋" w:eastAsia="仿宋"/>
                <w:sz w:val="24"/>
              </w:rPr>
              <w:t>.1.5</w:t>
            </w:r>
          </w:p>
        </w:tc>
        <w:tc>
          <w:tcPr>
            <w:tcW w:w="5431" w:type="dxa"/>
            <w:vAlign w:val="center"/>
          </w:tcPr>
          <w:p>
            <w:pPr>
              <w:jc w:val="center"/>
              <w:rPr>
                <w:rFonts w:ascii="仿宋" w:hAnsi="仿宋" w:eastAsia="仿宋"/>
                <w:sz w:val="24"/>
              </w:rPr>
            </w:pPr>
            <w:r>
              <w:rPr>
                <w:rFonts w:hint="eastAsia" w:ascii="仿宋" w:hAnsi="仿宋" w:eastAsia="仿宋"/>
                <w:sz w:val="24"/>
              </w:rPr>
              <w:t>花坛土要消毒，建议其他土也要消毒，是否消毒与土壤原料的来源有关，最好都消毒</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刘益仁</w:t>
            </w:r>
          </w:p>
          <w:p>
            <w:pPr>
              <w:widowControl/>
              <w:adjustRightInd w:val="0"/>
              <w:snapToGrid w:val="0"/>
              <w:jc w:val="center"/>
              <w:rPr>
                <w:rFonts w:ascii="仿宋" w:hAnsi="仿宋" w:eastAsia="仿宋"/>
                <w:sz w:val="24"/>
              </w:rPr>
            </w:pPr>
            <w:r>
              <w:rPr>
                <w:rFonts w:hint="eastAsia" w:ascii="仿宋" w:hAnsi="仿宋" w:eastAsia="仿宋"/>
                <w:sz w:val="24"/>
              </w:rPr>
              <w:t>江西省农业科学院土壤肥料与资源环境研究所</w:t>
            </w:r>
          </w:p>
        </w:tc>
        <w:tc>
          <w:tcPr>
            <w:tcW w:w="1417" w:type="dxa"/>
            <w:vAlign w:val="center"/>
          </w:tcPr>
          <w:p>
            <w:pPr>
              <w:jc w:val="center"/>
              <w:rPr>
                <w:rFonts w:ascii="仿宋" w:hAnsi="仿宋" w:eastAsia="仿宋" w:cs="Arial"/>
                <w:kern w:val="0"/>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12</w:t>
            </w:r>
          </w:p>
        </w:tc>
        <w:tc>
          <w:tcPr>
            <w:tcW w:w="1679" w:type="dxa"/>
            <w:vAlign w:val="center"/>
          </w:tcPr>
          <w:p>
            <w:pPr>
              <w:jc w:val="center"/>
              <w:rPr>
                <w:rFonts w:ascii="仿宋" w:hAnsi="仿宋" w:eastAsia="仿宋"/>
                <w:sz w:val="24"/>
              </w:rPr>
            </w:pPr>
          </w:p>
          <w:p>
            <w:pPr>
              <w:jc w:val="center"/>
              <w:rPr>
                <w:rFonts w:ascii="仿宋" w:hAnsi="仿宋" w:eastAsia="仿宋"/>
                <w:sz w:val="24"/>
              </w:rPr>
            </w:pPr>
            <w:r>
              <w:rPr>
                <w:rFonts w:hint="eastAsia" w:ascii="仿宋" w:hAnsi="仿宋" w:eastAsia="仿宋"/>
                <w:sz w:val="24"/>
              </w:rPr>
              <w:t>3.1</w:t>
            </w:r>
          </w:p>
          <w:p>
            <w:pPr>
              <w:jc w:val="center"/>
              <w:rPr>
                <w:rFonts w:ascii="仿宋" w:hAnsi="仿宋" w:eastAsia="仿宋"/>
                <w:sz w:val="24"/>
              </w:rPr>
            </w:pPr>
          </w:p>
        </w:tc>
        <w:tc>
          <w:tcPr>
            <w:tcW w:w="5431" w:type="dxa"/>
            <w:vAlign w:val="center"/>
          </w:tcPr>
          <w:p>
            <w:pPr>
              <w:jc w:val="center"/>
              <w:rPr>
                <w:rFonts w:ascii="仿宋" w:hAnsi="仿宋" w:eastAsia="仿宋"/>
                <w:sz w:val="24"/>
              </w:rPr>
            </w:pPr>
            <w:r>
              <w:rPr>
                <w:rFonts w:hint="eastAsia" w:ascii="仿宋" w:hAnsi="仿宋" w:eastAsia="仿宋"/>
                <w:sz w:val="24"/>
              </w:rPr>
              <w:t>建议将“soils for landscape and garden”修改为“</w:t>
            </w:r>
            <w:r>
              <w:rPr>
                <w:rFonts w:ascii="仿宋" w:hAnsi="仿宋" w:eastAsia="仿宋"/>
                <w:sz w:val="24"/>
              </w:rPr>
              <w:t>planting</w:t>
            </w:r>
            <w:r>
              <w:rPr>
                <w:rFonts w:hint="eastAsia" w:ascii="仿宋" w:hAnsi="仿宋" w:eastAsia="仿宋"/>
                <w:sz w:val="24"/>
              </w:rPr>
              <w:t xml:space="preserve"> soils for landscape and garden”。</w:t>
            </w:r>
          </w:p>
        </w:tc>
        <w:tc>
          <w:tcPr>
            <w:tcW w:w="4208"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连芳清</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江西农业大学园林与艺术学院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13</w:t>
            </w:r>
          </w:p>
        </w:tc>
        <w:tc>
          <w:tcPr>
            <w:tcW w:w="1679" w:type="dxa"/>
            <w:vAlign w:val="center"/>
          </w:tcPr>
          <w:p>
            <w:pPr>
              <w:jc w:val="center"/>
              <w:rPr>
                <w:rFonts w:ascii="仿宋" w:hAnsi="仿宋" w:eastAsia="仿宋"/>
                <w:sz w:val="24"/>
              </w:rPr>
            </w:pPr>
          </w:p>
          <w:p>
            <w:pPr>
              <w:jc w:val="center"/>
              <w:rPr>
                <w:rFonts w:ascii="仿宋" w:hAnsi="仿宋" w:eastAsia="仿宋"/>
                <w:sz w:val="24"/>
              </w:rPr>
            </w:pPr>
            <w:r>
              <w:rPr>
                <w:rFonts w:hint="eastAsia" w:ascii="仿宋" w:hAnsi="仿宋" w:eastAsia="仿宋"/>
                <w:sz w:val="24"/>
              </w:rPr>
              <w:t>6.9</w:t>
            </w:r>
          </w:p>
          <w:p>
            <w:pPr>
              <w:jc w:val="center"/>
              <w:rPr>
                <w:rFonts w:ascii="仿宋" w:hAnsi="仿宋" w:eastAsia="仿宋"/>
                <w:sz w:val="24"/>
              </w:rPr>
            </w:pPr>
          </w:p>
        </w:tc>
        <w:tc>
          <w:tcPr>
            <w:tcW w:w="5431" w:type="dxa"/>
            <w:vAlign w:val="center"/>
          </w:tcPr>
          <w:p>
            <w:pPr>
              <w:pStyle w:val="14"/>
              <w:ind w:firstLine="0" w:firstLineChars="0"/>
              <w:jc w:val="center"/>
              <w:rPr>
                <w:rFonts w:ascii="仿宋" w:hAnsi="仿宋" w:eastAsia="仿宋"/>
                <w:sz w:val="24"/>
                <w:szCs w:val="24"/>
              </w:rPr>
            </w:pPr>
            <w:r>
              <w:rPr>
                <w:rFonts w:hint="eastAsia" w:ascii="仿宋" w:hAnsi="仿宋" w:eastAsia="仿宋"/>
                <w:sz w:val="24"/>
                <w:szCs w:val="24"/>
              </w:rPr>
              <w:t>建议将“按LY/T 1215 规定的环刀法测定”修改为“按LY/T 1215中规定的环刀法测定”。</w:t>
            </w:r>
          </w:p>
        </w:tc>
        <w:tc>
          <w:tcPr>
            <w:tcW w:w="4208"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连芳清</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江西农业大学园林与艺术学院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14</w:t>
            </w:r>
          </w:p>
        </w:tc>
        <w:tc>
          <w:tcPr>
            <w:tcW w:w="1679" w:type="dxa"/>
            <w:vAlign w:val="center"/>
          </w:tcPr>
          <w:p>
            <w:pPr>
              <w:jc w:val="center"/>
              <w:rPr>
                <w:rFonts w:ascii="仿宋" w:hAnsi="仿宋" w:eastAsia="仿宋"/>
                <w:sz w:val="24"/>
              </w:rPr>
            </w:pPr>
            <w:r>
              <w:rPr>
                <w:rFonts w:hint="eastAsia" w:ascii="仿宋" w:hAnsi="仿宋" w:eastAsia="仿宋"/>
                <w:sz w:val="24"/>
              </w:rPr>
              <w:t>6.10</w:t>
            </w:r>
          </w:p>
        </w:tc>
        <w:tc>
          <w:tcPr>
            <w:tcW w:w="5431" w:type="dxa"/>
            <w:vAlign w:val="center"/>
          </w:tcPr>
          <w:p>
            <w:pPr>
              <w:pStyle w:val="14"/>
              <w:ind w:firstLine="0" w:firstLineChars="0"/>
              <w:jc w:val="center"/>
              <w:rPr>
                <w:rFonts w:ascii="仿宋" w:hAnsi="仿宋" w:eastAsia="仿宋"/>
                <w:sz w:val="24"/>
                <w:szCs w:val="24"/>
              </w:rPr>
            </w:pPr>
            <w:r>
              <w:rPr>
                <w:rFonts w:hint="eastAsia" w:ascii="仿宋" w:hAnsi="仿宋" w:eastAsia="仿宋"/>
                <w:sz w:val="24"/>
                <w:szCs w:val="24"/>
              </w:rPr>
              <w:t>建议将“按 CJJ/T 82 规定的方法测定”修改为“按 CJJ/T 82 中规定的方法测定”。</w:t>
            </w:r>
          </w:p>
        </w:tc>
        <w:tc>
          <w:tcPr>
            <w:tcW w:w="4208"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连芳清</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江西农业大学园林与艺术学院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15</w:t>
            </w:r>
          </w:p>
        </w:tc>
        <w:tc>
          <w:tcPr>
            <w:tcW w:w="1679" w:type="dxa"/>
            <w:vAlign w:val="center"/>
          </w:tcPr>
          <w:p>
            <w:pPr>
              <w:jc w:val="center"/>
              <w:rPr>
                <w:rFonts w:ascii="仿宋" w:hAnsi="仿宋" w:eastAsia="仿宋"/>
                <w:sz w:val="24"/>
              </w:rPr>
            </w:pPr>
          </w:p>
          <w:p>
            <w:pPr>
              <w:jc w:val="center"/>
              <w:rPr>
                <w:rFonts w:ascii="仿宋" w:hAnsi="仿宋" w:eastAsia="仿宋"/>
                <w:sz w:val="24"/>
              </w:rPr>
            </w:pPr>
            <w:r>
              <w:rPr>
                <w:rFonts w:hint="eastAsia" w:ascii="仿宋" w:hAnsi="仿宋" w:eastAsia="仿宋"/>
                <w:sz w:val="24"/>
              </w:rPr>
              <w:t>7.1</w:t>
            </w:r>
          </w:p>
          <w:p>
            <w:pPr>
              <w:jc w:val="center"/>
              <w:rPr>
                <w:rFonts w:ascii="仿宋" w:hAnsi="仿宋" w:eastAsia="仿宋"/>
                <w:sz w:val="24"/>
              </w:rPr>
            </w:pPr>
          </w:p>
        </w:tc>
        <w:tc>
          <w:tcPr>
            <w:tcW w:w="5431" w:type="dxa"/>
            <w:vAlign w:val="center"/>
          </w:tcPr>
          <w:p>
            <w:pPr>
              <w:jc w:val="center"/>
              <w:rPr>
                <w:rFonts w:ascii="仿宋" w:hAnsi="仿宋" w:eastAsia="仿宋"/>
                <w:sz w:val="24"/>
              </w:rPr>
            </w:pPr>
            <w:r>
              <w:rPr>
                <w:rFonts w:hint="eastAsia" w:ascii="仿宋" w:hAnsi="仿宋" w:eastAsia="仿宋"/>
                <w:sz w:val="24"/>
              </w:rPr>
              <w:t>建议将“应符合GB/T 8170中修约值比较法的规定执行”的“执行”删除。</w:t>
            </w:r>
          </w:p>
        </w:tc>
        <w:tc>
          <w:tcPr>
            <w:tcW w:w="4208"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连芳清</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江西农业大学园林与艺术学院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16</w:t>
            </w:r>
          </w:p>
        </w:tc>
        <w:tc>
          <w:tcPr>
            <w:tcW w:w="1679" w:type="dxa"/>
            <w:vAlign w:val="center"/>
          </w:tcPr>
          <w:p>
            <w:pPr>
              <w:jc w:val="center"/>
              <w:rPr>
                <w:rFonts w:ascii="仿宋" w:hAnsi="仿宋" w:eastAsia="仿宋"/>
                <w:sz w:val="24"/>
              </w:rPr>
            </w:pPr>
          </w:p>
          <w:p>
            <w:pPr>
              <w:jc w:val="center"/>
              <w:rPr>
                <w:rFonts w:ascii="仿宋" w:hAnsi="仿宋" w:eastAsia="仿宋"/>
                <w:sz w:val="24"/>
              </w:rPr>
            </w:pPr>
            <w:r>
              <w:rPr>
                <w:rFonts w:hint="eastAsia" w:ascii="仿宋" w:hAnsi="仿宋" w:eastAsia="仿宋"/>
                <w:sz w:val="24"/>
              </w:rPr>
              <w:t>A.7.2</w:t>
            </w:r>
          </w:p>
          <w:p>
            <w:pPr>
              <w:jc w:val="center"/>
              <w:rPr>
                <w:rFonts w:ascii="仿宋" w:hAnsi="仿宋" w:eastAsia="仿宋"/>
                <w:sz w:val="24"/>
              </w:rPr>
            </w:pPr>
          </w:p>
        </w:tc>
        <w:tc>
          <w:tcPr>
            <w:tcW w:w="5431" w:type="dxa"/>
            <w:vAlign w:val="center"/>
          </w:tcPr>
          <w:p>
            <w:pPr>
              <w:pStyle w:val="14"/>
              <w:ind w:firstLine="0" w:firstLineChars="0"/>
              <w:jc w:val="center"/>
              <w:rPr>
                <w:rFonts w:ascii="仿宋" w:hAnsi="仿宋" w:eastAsia="仿宋"/>
                <w:sz w:val="24"/>
                <w:szCs w:val="24"/>
              </w:rPr>
            </w:pPr>
            <w:r>
              <w:rPr>
                <w:rFonts w:hint="eastAsia" w:ascii="仿宋" w:hAnsi="仿宋" w:eastAsia="仿宋"/>
                <w:sz w:val="24"/>
                <w:szCs w:val="24"/>
              </w:rPr>
              <w:t>建议将“采样宜在种植的15天以前进行”修改为“采样宜在种植的前15天进行”。</w:t>
            </w:r>
          </w:p>
        </w:tc>
        <w:tc>
          <w:tcPr>
            <w:tcW w:w="4208"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连芳清</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江西农业大学园林与艺术学院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17</w:t>
            </w:r>
          </w:p>
        </w:tc>
        <w:tc>
          <w:tcPr>
            <w:tcW w:w="1679" w:type="dxa"/>
            <w:vAlign w:val="center"/>
          </w:tcPr>
          <w:p>
            <w:pPr>
              <w:jc w:val="center"/>
              <w:rPr>
                <w:rFonts w:ascii="仿宋" w:hAnsi="仿宋" w:eastAsia="仿宋"/>
                <w:sz w:val="24"/>
              </w:rPr>
            </w:pPr>
            <w:r>
              <w:rPr>
                <w:rFonts w:hint="eastAsia" w:ascii="仿宋" w:hAnsi="仿宋" w:eastAsia="仿宋"/>
                <w:sz w:val="24"/>
              </w:rPr>
              <w:t>3</w:t>
            </w:r>
            <w:r>
              <w:rPr>
                <w:rFonts w:ascii="仿宋" w:hAnsi="仿宋" w:eastAsia="仿宋"/>
                <w:sz w:val="24"/>
              </w:rPr>
              <w:t>.1</w:t>
            </w:r>
            <w:r>
              <w:rPr>
                <w:rFonts w:hint="eastAsia" w:ascii="仿宋" w:hAnsi="仿宋" w:eastAsia="仿宋"/>
                <w:sz w:val="24"/>
              </w:rPr>
              <w:t>、3</w:t>
            </w:r>
            <w:r>
              <w:rPr>
                <w:rFonts w:ascii="仿宋" w:hAnsi="仿宋" w:eastAsia="仿宋"/>
                <w:sz w:val="24"/>
              </w:rPr>
              <w:t>.7</w:t>
            </w:r>
          </w:p>
        </w:tc>
        <w:tc>
          <w:tcPr>
            <w:tcW w:w="5431" w:type="dxa"/>
            <w:vAlign w:val="center"/>
          </w:tcPr>
          <w:p>
            <w:pPr>
              <w:jc w:val="center"/>
              <w:rPr>
                <w:rFonts w:ascii="仿宋" w:hAnsi="仿宋" w:eastAsia="仿宋"/>
                <w:sz w:val="24"/>
              </w:rPr>
            </w:pPr>
            <w:r>
              <w:rPr>
                <w:rFonts w:hint="eastAsia" w:ascii="仿宋" w:hAnsi="仿宋" w:eastAsia="仿宋"/>
                <w:sz w:val="24"/>
              </w:rPr>
              <w:t>“用于”改为“适宜”</w:t>
            </w:r>
          </w:p>
        </w:tc>
        <w:tc>
          <w:tcPr>
            <w:tcW w:w="4208"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唐山</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江西省林业科学院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18</w:t>
            </w:r>
          </w:p>
        </w:tc>
        <w:tc>
          <w:tcPr>
            <w:tcW w:w="1679" w:type="dxa"/>
            <w:vAlign w:val="center"/>
          </w:tcPr>
          <w:p>
            <w:pPr>
              <w:jc w:val="center"/>
              <w:rPr>
                <w:rFonts w:ascii="仿宋" w:hAnsi="仿宋" w:eastAsia="仿宋"/>
                <w:sz w:val="24"/>
              </w:rPr>
            </w:pPr>
            <w:r>
              <w:rPr>
                <w:rFonts w:hint="eastAsia" w:ascii="仿宋" w:hAnsi="仿宋" w:eastAsia="仿宋"/>
                <w:sz w:val="24"/>
              </w:rPr>
              <w:t>4分类</w:t>
            </w:r>
          </w:p>
        </w:tc>
        <w:tc>
          <w:tcPr>
            <w:tcW w:w="5431" w:type="dxa"/>
            <w:vAlign w:val="center"/>
          </w:tcPr>
          <w:p>
            <w:pPr>
              <w:jc w:val="center"/>
              <w:rPr>
                <w:rFonts w:ascii="仿宋" w:hAnsi="仿宋" w:eastAsia="仿宋"/>
                <w:sz w:val="24"/>
              </w:rPr>
            </w:pPr>
            <w:r>
              <w:rPr>
                <w:rFonts w:hint="eastAsia" w:ascii="仿宋" w:hAnsi="仿宋" w:eastAsia="仿宋"/>
                <w:sz w:val="24"/>
              </w:rPr>
              <w:t>建议末尾加“等”</w:t>
            </w:r>
          </w:p>
        </w:tc>
        <w:tc>
          <w:tcPr>
            <w:tcW w:w="4208"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唐山</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江西省林业科学院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19</w:t>
            </w:r>
          </w:p>
        </w:tc>
        <w:tc>
          <w:tcPr>
            <w:tcW w:w="1679" w:type="dxa"/>
            <w:vAlign w:val="center"/>
          </w:tcPr>
          <w:p>
            <w:pPr>
              <w:jc w:val="center"/>
              <w:rPr>
                <w:rFonts w:ascii="仿宋" w:hAnsi="仿宋" w:eastAsia="仿宋"/>
                <w:kern w:val="0"/>
                <w:sz w:val="24"/>
              </w:rPr>
            </w:pPr>
            <w:r>
              <w:rPr>
                <w:rFonts w:hint="eastAsia" w:ascii="仿宋" w:hAnsi="仿宋" w:eastAsia="仿宋"/>
                <w:kern w:val="0"/>
                <w:sz w:val="24"/>
              </w:rPr>
              <w:t>3.10</w:t>
            </w:r>
          </w:p>
        </w:tc>
        <w:tc>
          <w:tcPr>
            <w:tcW w:w="5431" w:type="dxa"/>
            <w:vAlign w:val="center"/>
          </w:tcPr>
          <w:p>
            <w:pPr>
              <w:pStyle w:val="14"/>
              <w:ind w:firstLine="0" w:firstLineChars="0"/>
              <w:jc w:val="center"/>
              <w:rPr>
                <w:rFonts w:ascii="仿宋" w:hAnsi="仿宋" w:eastAsia="仿宋"/>
                <w:sz w:val="24"/>
                <w:szCs w:val="24"/>
              </w:rPr>
            </w:pPr>
            <w:r>
              <w:rPr>
                <w:rFonts w:ascii="仿宋" w:hAnsi="仿宋" w:eastAsia="仿宋"/>
                <w:sz w:val="24"/>
                <w:szCs w:val="24"/>
              </w:rPr>
              <w:t>建议将</w:t>
            </w:r>
            <w:r>
              <w:rPr>
                <w:rFonts w:hint="eastAsia" w:ascii="仿宋" w:hAnsi="仿宋" w:eastAsia="仿宋"/>
                <w:sz w:val="24"/>
                <w:szCs w:val="24"/>
              </w:rPr>
              <w:t>“土壤的酸碱程度” 修改为“土壤酸碱</w:t>
            </w:r>
            <w:r>
              <w:rPr>
                <w:rFonts w:ascii="仿宋" w:hAnsi="仿宋" w:eastAsia="仿宋"/>
                <w:sz w:val="24"/>
                <w:szCs w:val="24"/>
              </w:rPr>
              <w:t>性</w:t>
            </w:r>
            <w:r>
              <w:rPr>
                <w:rFonts w:hint="eastAsia" w:ascii="仿宋" w:hAnsi="仿宋" w:eastAsia="仿宋"/>
                <w:sz w:val="24"/>
                <w:szCs w:val="24"/>
              </w:rPr>
              <w:t>”。</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昝玉亭</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江西省水利科学院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20</w:t>
            </w:r>
          </w:p>
        </w:tc>
        <w:tc>
          <w:tcPr>
            <w:tcW w:w="1679" w:type="dxa"/>
            <w:vAlign w:val="center"/>
          </w:tcPr>
          <w:p>
            <w:pPr>
              <w:jc w:val="center"/>
              <w:rPr>
                <w:rFonts w:ascii="仿宋" w:hAnsi="仿宋" w:eastAsia="仿宋"/>
                <w:kern w:val="0"/>
                <w:sz w:val="24"/>
              </w:rPr>
            </w:pPr>
            <w:r>
              <w:rPr>
                <w:rFonts w:ascii="仿宋" w:hAnsi="仿宋" w:eastAsia="仿宋"/>
                <w:kern w:val="0"/>
                <w:sz w:val="24"/>
              </w:rPr>
              <w:t>7.2.1</w:t>
            </w:r>
          </w:p>
        </w:tc>
        <w:tc>
          <w:tcPr>
            <w:tcW w:w="5431" w:type="dxa"/>
            <w:vAlign w:val="center"/>
          </w:tcPr>
          <w:p>
            <w:pPr>
              <w:pStyle w:val="14"/>
              <w:ind w:firstLine="0" w:firstLineChars="0"/>
              <w:jc w:val="center"/>
              <w:rPr>
                <w:rFonts w:ascii="仿宋" w:hAnsi="仿宋" w:eastAsia="仿宋"/>
                <w:sz w:val="24"/>
                <w:szCs w:val="24"/>
              </w:rPr>
            </w:pPr>
            <w:r>
              <w:rPr>
                <w:rFonts w:hint="eastAsia" w:ascii="仿宋" w:hAnsi="仿宋" w:eastAsia="仿宋"/>
                <w:sz w:val="24"/>
                <w:szCs w:val="24"/>
              </w:rPr>
              <w:t>建议将“应全部符合技术要求。若有一项指标不符合技术要求则该土壤视为不合格”的句号修改为逗号。</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昝玉亭</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江西省水利科学院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21</w:t>
            </w:r>
          </w:p>
        </w:tc>
        <w:tc>
          <w:tcPr>
            <w:tcW w:w="1679" w:type="dxa"/>
            <w:vAlign w:val="center"/>
          </w:tcPr>
          <w:p>
            <w:pPr>
              <w:jc w:val="center"/>
              <w:rPr>
                <w:rFonts w:ascii="仿宋" w:hAnsi="仿宋" w:eastAsia="仿宋"/>
                <w:kern w:val="0"/>
                <w:sz w:val="24"/>
              </w:rPr>
            </w:pPr>
            <w:r>
              <w:rPr>
                <w:rFonts w:hint="eastAsia" w:ascii="仿宋" w:hAnsi="仿宋" w:eastAsia="仿宋"/>
                <w:kern w:val="0"/>
                <w:sz w:val="24"/>
              </w:rPr>
              <w:t>A.3</w:t>
            </w:r>
          </w:p>
        </w:tc>
        <w:tc>
          <w:tcPr>
            <w:tcW w:w="5431" w:type="dxa"/>
            <w:vAlign w:val="center"/>
          </w:tcPr>
          <w:p>
            <w:pPr>
              <w:pStyle w:val="14"/>
              <w:ind w:firstLine="0" w:firstLineChars="0"/>
              <w:jc w:val="center"/>
              <w:rPr>
                <w:rFonts w:ascii="仿宋" w:hAnsi="仿宋" w:eastAsia="仿宋"/>
                <w:sz w:val="24"/>
                <w:szCs w:val="24"/>
              </w:rPr>
            </w:pPr>
            <w:r>
              <w:rPr>
                <w:rFonts w:hint="eastAsia" w:ascii="仿宋" w:hAnsi="仿宋" w:eastAsia="仿宋"/>
                <w:sz w:val="24"/>
                <w:szCs w:val="24"/>
              </w:rPr>
              <w:t>建议将“按</w:t>
            </w:r>
            <w:r>
              <w:rPr>
                <w:rFonts w:ascii="仿宋" w:hAnsi="仿宋" w:eastAsia="仿宋"/>
                <w:sz w:val="24"/>
                <w:szCs w:val="24"/>
              </w:rPr>
              <w:t>“S”形方法</w:t>
            </w:r>
            <w:r>
              <w:rPr>
                <w:rFonts w:hint="eastAsia" w:ascii="仿宋" w:hAnsi="仿宋" w:eastAsia="仿宋"/>
                <w:sz w:val="24"/>
                <w:szCs w:val="24"/>
              </w:rPr>
              <w:t>在确定的土壤取样点后”修改为“在</w:t>
            </w:r>
            <w:r>
              <w:rPr>
                <w:rFonts w:ascii="仿宋" w:hAnsi="仿宋" w:eastAsia="仿宋"/>
                <w:sz w:val="24"/>
                <w:szCs w:val="24"/>
              </w:rPr>
              <w:t>“S”形方法</w:t>
            </w:r>
            <w:r>
              <w:rPr>
                <w:rFonts w:hint="eastAsia" w:ascii="仿宋" w:hAnsi="仿宋" w:eastAsia="仿宋"/>
                <w:sz w:val="24"/>
                <w:szCs w:val="24"/>
              </w:rPr>
              <w:t>在确定的土壤取样点上”。</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昝玉亭</w:t>
            </w:r>
          </w:p>
          <w:p>
            <w:pPr>
              <w:widowControl/>
              <w:adjustRightInd w:val="0"/>
              <w:snapToGrid w:val="0"/>
              <w:jc w:val="center"/>
              <w:rPr>
                <w:rFonts w:ascii="仿宋" w:hAnsi="仿宋" w:eastAsia="仿宋" w:cs="Arial"/>
                <w:bCs/>
                <w:kern w:val="0"/>
                <w:sz w:val="24"/>
              </w:rPr>
            </w:pPr>
            <w:r>
              <w:rPr>
                <w:rFonts w:hint="eastAsia" w:ascii="仿宋" w:hAnsi="仿宋" w:eastAsia="仿宋"/>
                <w:sz w:val="24"/>
              </w:rPr>
              <w:t>江西省水利科学院</w:t>
            </w:r>
          </w:p>
        </w:tc>
        <w:tc>
          <w:tcPr>
            <w:tcW w:w="1417" w:type="dxa"/>
            <w:vAlign w:val="center"/>
          </w:tcPr>
          <w:p>
            <w:pPr>
              <w:widowControl/>
              <w:adjustRightInd w:val="0"/>
              <w:snapToGrid w:val="0"/>
              <w:jc w:val="center"/>
              <w:rPr>
                <w:rFonts w:ascii="仿宋" w:hAnsi="仿宋" w:eastAsia="仿宋" w:cs="Arial"/>
                <w:bCs/>
                <w:kern w:val="0"/>
                <w:sz w:val="24"/>
              </w:rPr>
            </w:pPr>
            <w:r>
              <w:rPr>
                <w:rFonts w:ascii="仿宋" w:hAnsi="仿宋" w:eastAsia="仿宋" w:cs="Arial"/>
                <w:kern w:val="0"/>
                <w:sz w:val="24"/>
              </w:rPr>
              <w:t>采纳</w:t>
            </w:r>
          </w:p>
        </w:tc>
        <w:tc>
          <w:tcPr>
            <w:tcW w:w="1032" w:type="dxa"/>
            <w:vAlign w:val="center"/>
          </w:tcPr>
          <w:p>
            <w:pPr>
              <w:widowControl/>
              <w:adjustRightInd w:val="0"/>
              <w:snapToGrid w:val="0"/>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22</w:t>
            </w:r>
          </w:p>
        </w:tc>
        <w:tc>
          <w:tcPr>
            <w:tcW w:w="1679" w:type="dxa"/>
            <w:vAlign w:val="center"/>
          </w:tcPr>
          <w:p>
            <w:pPr>
              <w:jc w:val="center"/>
              <w:rPr>
                <w:rFonts w:ascii="仿宋" w:hAnsi="仿宋" w:eastAsia="仿宋"/>
                <w:kern w:val="0"/>
                <w:sz w:val="24"/>
              </w:rPr>
            </w:pPr>
            <w:r>
              <w:rPr>
                <w:rFonts w:hint="eastAsia" w:ascii="仿宋" w:hAnsi="仿宋" w:eastAsia="仿宋"/>
                <w:kern w:val="0"/>
                <w:sz w:val="24"/>
              </w:rPr>
              <w:t>3.21</w:t>
            </w:r>
          </w:p>
        </w:tc>
        <w:tc>
          <w:tcPr>
            <w:tcW w:w="5431" w:type="dxa"/>
            <w:vAlign w:val="center"/>
          </w:tcPr>
          <w:p>
            <w:pPr>
              <w:pStyle w:val="14"/>
              <w:ind w:firstLine="0" w:firstLineChars="0"/>
              <w:jc w:val="center"/>
              <w:rPr>
                <w:rFonts w:ascii="仿宋" w:hAnsi="仿宋" w:eastAsia="仿宋"/>
                <w:sz w:val="24"/>
                <w:szCs w:val="24"/>
              </w:rPr>
            </w:pPr>
            <w:r>
              <w:rPr>
                <w:rFonts w:hint="eastAsia" w:ascii="仿宋" w:hAnsi="仿宋" w:eastAsia="仿宋"/>
                <w:sz w:val="24"/>
                <w:szCs w:val="24"/>
              </w:rPr>
              <w:t>建议将“有效粒径大于2 mm的石砾”的“石砾”修改为“石粒”。</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邓玉华</w:t>
            </w:r>
          </w:p>
          <w:p>
            <w:pPr>
              <w:widowControl/>
              <w:adjustRightInd w:val="0"/>
              <w:snapToGrid w:val="0"/>
              <w:jc w:val="center"/>
              <w:rPr>
                <w:rFonts w:ascii="仿宋" w:hAnsi="仿宋" w:eastAsia="仿宋" w:cs="Arial"/>
                <w:bCs/>
                <w:kern w:val="0"/>
                <w:sz w:val="24"/>
              </w:rPr>
            </w:pPr>
            <w:r>
              <w:rPr>
                <w:rFonts w:hint="eastAsia" w:ascii="仿宋" w:hAnsi="仿宋" w:eastAsia="仿宋"/>
                <w:sz w:val="24"/>
              </w:rPr>
              <w:t>南昌市公园事务中心</w:t>
            </w:r>
          </w:p>
        </w:tc>
        <w:tc>
          <w:tcPr>
            <w:tcW w:w="1417" w:type="dxa"/>
            <w:vAlign w:val="center"/>
          </w:tcPr>
          <w:p>
            <w:pPr>
              <w:jc w:val="center"/>
              <w:rPr>
                <w:rFonts w:ascii="仿宋" w:hAnsi="仿宋" w:eastAsia="仿宋"/>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23</w:t>
            </w:r>
          </w:p>
        </w:tc>
        <w:tc>
          <w:tcPr>
            <w:tcW w:w="1679" w:type="dxa"/>
            <w:vAlign w:val="center"/>
          </w:tcPr>
          <w:p>
            <w:pPr>
              <w:jc w:val="center"/>
              <w:rPr>
                <w:rFonts w:ascii="仿宋" w:hAnsi="仿宋" w:eastAsia="仿宋"/>
                <w:kern w:val="0"/>
                <w:sz w:val="24"/>
              </w:rPr>
            </w:pPr>
            <w:r>
              <w:rPr>
                <w:rFonts w:ascii="仿宋" w:hAnsi="仿宋" w:eastAsia="仿宋"/>
                <w:kern w:val="0"/>
                <w:sz w:val="24"/>
              </w:rPr>
              <w:t>7.2.2</w:t>
            </w:r>
          </w:p>
        </w:tc>
        <w:tc>
          <w:tcPr>
            <w:tcW w:w="5431" w:type="dxa"/>
            <w:vAlign w:val="center"/>
          </w:tcPr>
          <w:p>
            <w:pPr>
              <w:pStyle w:val="14"/>
              <w:ind w:firstLine="0" w:firstLineChars="0"/>
              <w:jc w:val="center"/>
              <w:rPr>
                <w:rFonts w:ascii="仿宋" w:hAnsi="仿宋" w:eastAsia="仿宋"/>
                <w:sz w:val="24"/>
                <w:szCs w:val="24"/>
              </w:rPr>
            </w:pPr>
            <w:r>
              <w:rPr>
                <w:rFonts w:hint="eastAsia" w:ascii="仿宋" w:hAnsi="仿宋" w:eastAsia="仿宋"/>
                <w:sz w:val="24"/>
                <w:szCs w:val="24"/>
              </w:rPr>
              <w:t>建议将“且未达到技术要求的检测值应控制在标准值的±20%范围内。否则，该土壤视为不合格”的句号修改为逗号。</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邓玉华</w:t>
            </w:r>
          </w:p>
          <w:p>
            <w:pPr>
              <w:widowControl/>
              <w:adjustRightInd w:val="0"/>
              <w:snapToGrid w:val="0"/>
              <w:jc w:val="center"/>
              <w:rPr>
                <w:rFonts w:ascii="仿宋" w:hAnsi="仿宋" w:eastAsia="仿宋" w:cs="Arial"/>
                <w:bCs/>
                <w:kern w:val="0"/>
                <w:sz w:val="24"/>
              </w:rPr>
            </w:pPr>
            <w:r>
              <w:rPr>
                <w:rFonts w:hint="eastAsia" w:ascii="仿宋" w:hAnsi="仿宋" w:eastAsia="仿宋"/>
                <w:sz w:val="24"/>
              </w:rPr>
              <w:t>南昌市公园事务中心</w:t>
            </w:r>
          </w:p>
        </w:tc>
        <w:tc>
          <w:tcPr>
            <w:tcW w:w="1417" w:type="dxa"/>
            <w:vAlign w:val="center"/>
          </w:tcPr>
          <w:p>
            <w:pPr>
              <w:jc w:val="center"/>
              <w:rPr>
                <w:rFonts w:ascii="仿宋" w:hAnsi="仿宋" w:eastAsia="仿宋"/>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exact"/>
          <w:tblHeader/>
          <w:jc w:val="center"/>
        </w:trPr>
        <w:tc>
          <w:tcPr>
            <w:tcW w:w="705" w:type="dxa"/>
            <w:vAlign w:val="center"/>
          </w:tcPr>
          <w:p>
            <w:pPr>
              <w:widowControl/>
              <w:adjustRightInd w:val="0"/>
              <w:snapToGrid w:val="0"/>
              <w:jc w:val="center"/>
              <w:rPr>
                <w:rFonts w:ascii="仿宋" w:hAnsi="仿宋" w:eastAsia="仿宋" w:cs="Arial"/>
                <w:bCs/>
                <w:kern w:val="0"/>
                <w:sz w:val="24"/>
              </w:rPr>
            </w:pPr>
            <w:r>
              <w:rPr>
                <w:rFonts w:hint="eastAsia" w:ascii="仿宋" w:hAnsi="仿宋" w:eastAsia="仿宋" w:cs="Arial"/>
                <w:bCs/>
                <w:kern w:val="0"/>
                <w:sz w:val="24"/>
              </w:rPr>
              <w:t>24</w:t>
            </w:r>
          </w:p>
        </w:tc>
        <w:tc>
          <w:tcPr>
            <w:tcW w:w="1679" w:type="dxa"/>
            <w:vAlign w:val="center"/>
          </w:tcPr>
          <w:p>
            <w:pPr>
              <w:ind w:firstLine="280"/>
              <w:jc w:val="center"/>
              <w:rPr>
                <w:rFonts w:ascii="仿宋" w:hAnsi="仿宋" w:eastAsia="仿宋"/>
                <w:kern w:val="0"/>
                <w:sz w:val="24"/>
              </w:rPr>
            </w:pPr>
            <w:r>
              <w:rPr>
                <w:rFonts w:hint="eastAsia" w:ascii="仿宋" w:hAnsi="仿宋" w:eastAsia="仿宋"/>
                <w:kern w:val="0"/>
                <w:sz w:val="24"/>
              </w:rPr>
              <w:t>A.3</w:t>
            </w:r>
          </w:p>
          <w:p>
            <w:pPr>
              <w:jc w:val="center"/>
              <w:rPr>
                <w:rFonts w:ascii="仿宋" w:hAnsi="仿宋" w:eastAsia="仿宋"/>
                <w:kern w:val="0"/>
                <w:sz w:val="24"/>
              </w:rPr>
            </w:pPr>
          </w:p>
        </w:tc>
        <w:tc>
          <w:tcPr>
            <w:tcW w:w="5431" w:type="dxa"/>
            <w:vAlign w:val="center"/>
          </w:tcPr>
          <w:p>
            <w:pPr>
              <w:pStyle w:val="14"/>
              <w:ind w:firstLine="0" w:firstLineChars="0"/>
              <w:jc w:val="center"/>
              <w:rPr>
                <w:rFonts w:ascii="仿宋" w:hAnsi="仿宋" w:eastAsia="仿宋"/>
                <w:sz w:val="24"/>
                <w:szCs w:val="24"/>
              </w:rPr>
            </w:pPr>
            <w:r>
              <w:rPr>
                <w:rFonts w:hint="eastAsia" w:ascii="仿宋" w:hAnsi="仿宋" w:eastAsia="仿宋"/>
                <w:sz w:val="24"/>
                <w:szCs w:val="24"/>
              </w:rPr>
              <w:t>建议将“环刀取样按本标准检测方法规定处理”的“处理”删除。</w:t>
            </w:r>
          </w:p>
        </w:tc>
        <w:tc>
          <w:tcPr>
            <w:tcW w:w="4208" w:type="dxa"/>
            <w:vAlign w:val="center"/>
          </w:tcPr>
          <w:p>
            <w:pPr>
              <w:widowControl/>
              <w:adjustRightInd w:val="0"/>
              <w:snapToGrid w:val="0"/>
              <w:jc w:val="center"/>
              <w:rPr>
                <w:rFonts w:ascii="仿宋" w:hAnsi="仿宋" w:eastAsia="仿宋"/>
                <w:sz w:val="24"/>
              </w:rPr>
            </w:pPr>
            <w:r>
              <w:rPr>
                <w:rFonts w:hint="eastAsia" w:ascii="仿宋" w:hAnsi="仿宋" w:eastAsia="仿宋"/>
                <w:sz w:val="24"/>
              </w:rPr>
              <w:t>邓玉华</w:t>
            </w:r>
          </w:p>
          <w:p>
            <w:pPr>
              <w:widowControl/>
              <w:adjustRightInd w:val="0"/>
              <w:snapToGrid w:val="0"/>
              <w:jc w:val="center"/>
              <w:rPr>
                <w:rFonts w:ascii="仿宋" w:hAnsi="仿宋" w:eastAsia="仿宋" w:cs="Arial"/>
                <w:bCs/>
                <w:kern w:val="0"/>
                <w:sz w:val="24"/>
              </w:rPr>
            </w:pPr>
            <w:r>
              <w:rPr>
                <w:rFonts w:hint="eastAsia" w:ascii="仿宋" w:hAnsi="仿宋" w:eastAsia="仿宋"/>
                <w:sz w:val="24"/>
              </w:rPr>
              <w:t>南昌市公园事务中心</w:t>
            </w:r>
          </w:p>
        </w:tc>
        <w:tc>
          <w:tcPr>
            <w:tcW w:w="1417" w:type="dxa"/>
            <w:vAlign w:val="center"/>
          </w:tcPr>
          <w:p>
            <w:pPr>
              <w:jc w:val="center"/>
              <w:rPr>
                <w:rFonts w:ascii="仿宋" w:hAnsi="仿宋" w:eastAsia="仿宋"/>
                <w:sz w:val="24"/>
              </w:rPr>
            </w:pPr>
            <w:r>
              <w:rPr>
                <w:rFonts w:ascii="仿宋" w:hAnsi="仿宋" w:eastAsia="仿宋" w:cs="Arial"/>
                <w:kern w:val="0"/>
                <w:sz w:val="24"/>
              </w:rPr>
              <w:t>采纳</w:t>
            </w:r>
          </w:p>
        </w:tc>
        <w:tc>
          <w:tcPr>
            <w:tcW w:w="1032" w:type="dxa"/>
            <w:vAlign w:val="center"/>
          </w:tcPr>
          <w:p>
            <w:pPr>
              <w:jc w:val="center"/>
              <w:rPr>
                <w:rFonts w:ascii="仿宋" w:hAnsi="仿宋" w:eastAsia="仿宋"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tblHeader/>
          <w:jc w:val="center"/>
        </w:trPr>
        <w:tc>
          <w:tcPr>
            <w:tcW w:w="14472" w:type="dxa"/>
            <w:gridSpan w:val="6"/>
            <w:vAlign w:val="center"/>
          </w:tcPr>
          <w:p>
            <w:pPr>
              <w:jc w:val="left"/>
              <w:rPr>
                <w:rFonts w:ascii="仿宋" w:hAnsi="仿宋" w:eastAsia="仿宋"/>
                <w:sz w:val="24"/>
              </w:rPr>
            </w:pPr>
            <w:r>
              <w:rPr>
                <w:rFonts w:hint="eastAsia" w:ascii="仿宋" w:hAnsi="仿宋" w:eastAsia="仿宋"/>
                <w:sz w:val="24"/>
              </w:rPr>
              <w:t xml:space="preserve">a、发送“征求意见稿”的单位个数： </w:t>
            </w:r>
            <w:r>
              <w:rPr>
                <w:rFonts w:ascii="仿宋" w:hAnsi="仿宋" w:eastAsia="仿宋"/>
                <w:sz w:val="24"/>
              </w:rPr>
              <w:t>6</w:t>
            </w:r>
            <w:r>
              <w:rPr>
                <w:rFonts w:hint="eastAsia" w:ascii="仿宋" w:hAnsi="仿宋" w:eastAsia="仿宋"/>
                <w:sz w:val="24"/>
              </w:rPr>
              <w:t xml:space="preserve"> 个；</w:t>
            </w:r>
          </w:p>
          <w:p>
            <w:pPr>
              <w:jc w:val="left"/>
              <w:rPr>
                <w:rFonts w:ascii="仿宋" w:hAnsi="仿宋" w:eastAsia="仿宋"/>
                <w:sz w:val="24"/>
              </w:rPr>
            </w:pPr>
            <w:r>
              <w:rPr>
                <w:rFonts w:hint="eastAsia" w:ascii="仿宋" w:hAnsi="仿宋" w:eastAsia="仿宋"/>
                <w:sz w:val="24"/>
              </w:rPr>
              <w:t>b、收到“征求意见稿”后，回函的单位数：</w:t>
            </w:r>
            <w:r>
              <w:rPr>
                <w:rFonts w:ascii="仿宋" w:hAnsi="仿宋" w:eastAsia="仿宋"/>
                <w:sz w:val="24"/>
              </w:rPr>
              <w:t>6</w:t>
            </w:r>
            <w:r>
              <w:rPr>
                <w:rFonts w:hint="eastAsia" w:ascii="仿宋" w:hAnsi="仿宋" w:eastAsia="仿宋"/>
                <w:sz w:val="24"/>
              </w:rPr>
              <w:t xml:space="preserve"> 个；</w:t>
            </w:r>
          </w:p>
          <w:p>
            <w:pPr>
              <w:jc w:val="left"/>
              <w:rPr>
                <w:rFonts w:ascii="仿宋" w:hAnsi="仿宋" w:eastAsia="仿宋"/>
                <w:sz w:val="24"/>
              </w:rPr>
            </w:pPr>
            <w:r>
              <w:rPr>
                <w:rFonts w:hint="eastAsia" w:ascii="仿宋" w:hAnsi="仿宋" w:eastAsia="仿宋"/>
                <w:sz w:val="24"/>
              </w:rPr>
              <w:t>c、收到“征求意见稿”后，回函并有建议或意见的单位数：</w:t>
            </w:r>
            <w:r>
              <w:rPr>
                <w:rFonts w:ascii="仿宋" w:hAnsi="仿宋" w:eastAsia="仿宋"/>
                <w:sz w:val="24"/>
              </w:rPr>
              <w:t>6</w:t>
            </w:r>
            <w:r>
              <w:rPr>
                <w:rFonts w:hint="eastAsia" w:ascii="仿宋" w:hAnsi="仿宋" w:eastAsia="仿宋"/>
                <w:sz w:val="24"/>
              </w:rPr>
              <w:t>个；</w:t>
            </w:r>
          </w:p>
          <w:p>
            <w:pPr>
              <w:widowControl/>
              <w:adjustRightInd w:val="0"/>
              <w:snapToGrid w:val="0"/>
              <w:jc w:val="left"/>
              <w:rPr>
                <w:rFonts w:ascii="仿宋" w:hAnsi="仿宋" w:eastAsia="仿宋" w:cs="Arial"/>
                <w:bCs/>
                <w:kern w:val="0"/>
                <w:sz w:val="24"/>
              </w:rPr>
            </w:pPr>
            <w:r>
              <w:rPr>
                <w:rFonts w:hint="eastAsia" w:ascii="仿宋" w:hAnsi="仿宋" w:eastAsia="仿宋"/>
                <w:sz w:val="24"/>
              </w:rPr>
              <w:t>d、没有回函的单位数：0个。</w:t>
            </w:r>
          </w:p>
        </w:tc>
      </w:tr>
    </w:tbl>
    <w:p>
      <w:pPr>
        <w:jc w:val="center"/>
        <w:rPr>
          <w:rFonts w:ascii="宋体" w:hAnsi="宋体"/>
          <w:szCs w:val="21"/>
        </w:rPr>
      </w:pPr>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B9626F"/>
    <w:multiLevelType w:val="multilevel"/>
    <w:tmpl w:val="2CB9626F"/>
    <w:lvl w:ilvl="0" w:tentative="0">
      <w:start w:val="1"/>
      <w:numFmt w:val="decimal"/>
      <w:pStyle w:val="37"/>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557C2AF5"/>
    <w:multiLevelType w:val="multilevel"/>
    <w:tmpl w:val="557C2AF5"/>
    <w:lvl w:ilvl="0" w:tentative="0">
      <w:start w:val="1"/>
      <w:numFmt w:val="decimal"/>
      <w:pStyle w:val="3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46260FA"/>
    <w:multiLevelType w:val="multilevel"/>
    <w:tmpl w:val="646260FA"/>
    <w:lvl w:ilvl="0" w:tentative="0">
      <w:start w:val="1"/>
      <w:numFmt w:val="decimal"/>
      <w:pStyle w:val="38"/>
      <w:suff w:val="nothing"/>
      <w:lvlText w:val="表%1　"/>
      <w:lvlJc w:val="left"/>
      <w:pPr>
        <w:ind w:left="6096" w:firstLine="0"/>
      </w:pPr>
      <w:rPr>
        <w:rFonts w:hint="eastAsia" w:ascii="黑体" w:hAnsi="Times New Roman" w:eastAsia="黑体"/>
        <w:b w:val="0"/>
        <w:i w:val="0"/>
        <w:sz w:val="21"/>
      </w:rPr>
    </w:lvl>
    <w:lvl w:ilvl="1" w:tentative="0">
      <w:start w:val="1"/>
      <w:numFmt w:val="decimal"/>
      <w:lvlText w:val="%1.%2"/>
      <w:lvlJc w:val="left"/>
      <w:pPr>
        <w:tabs>
          <w:tab w:val="left" w:pos="4082"/>
        </w:tabs>
        <w:ind w:left="4082" w:hanging="567"/>
      </w:pPr>
      <w:rPr>
        <w:rFonts w:hint="eastAsia"/>
      </w:rPr>
    </w:lvl>
    <w:lvl w:ilvl="2" w:tentative="0">
      <w:start w:val="1"/>
      <w:numFmt w:val="decimal"/>
      <w:lvlText w:val="%1.%2.%3"/>
      <w:lvlJc w:val="left"/>
      <w:pPr>
        <w:tabs>
          <w:tab w:val="left" w:pos="4508"/>
        </w:tabs>
        <w:ind w:left="4508" w:hanging="567"/>
      </w:pPr>
      <w:rPr>
        <w:rFonts w:hint="eastAsia"/>
      </w:rPr>
    </w:lvl>
    <w:lvl w:ilvl="3" w:tentative="0">
      <w:start w:val="1"/>
      <w:numFmt w:val="decimal"/>
      <w:lvlText w:val="%1.%2.%3.%4"/>
      <w:lvlJc w:val="left"/>
      <w:pPr>
        <w:tabs>
          <w:tab w:val="left" w:pos="5074"/>
        </w:tabs>
        <w:ind w:left="5074" w:hanging="708"/>
      </w:pPr>
      <w:rPr>
        <w:rFonts w:hint="eastAsia"/>
      </w:rPr>
    </w:lvl>
    <w:lvl w:ilvl="4" w:tentative="0">
      <w:start w:val="1"/>
      <w:numFmt w:val="decimal"/>
      <w:lvlText w:val="%1.%2.%3.%4.%5"/>
      <w:lvlJc w:val="left"/>
      <w:pPr>
        <w:tabs>
          <w:tab w:val="left" w:pos="5641"/>
        </w:tabs>
        <w:ind w:left="5641" w:hanging="850"/>
      </w:pPr>
      <w:rPr>
        <w:rFonts w:hint="eastAsia"/>
      </w:rPr>
    </w:lvl>
    <w:lvl w:ilvl="5" w:tentative="0">
      <w:start w:val="1"/>
      <w:numFmt w:val="decimal"/>
      <w:lvlText w:val="%1.%2.%3.%4.%5.%6"/>
      <w:lvlJc w:val="left"/>
      <w:pPr>
        <w:tabs>
          <w:tab w:val="left" w:pos="6350"/>
        </w:tabs>
        <w:ind w:left="6350" w:hanging="1134"/>
      </w:pPr>
      <w:rPr>
        <w:rFonts w:hint="eastAsia"/>
      </w:rPr>
    </w:lvl>
    <w:lvl w:ilvl="6" w:tentative="0">
      <w:start w:val="1"/>
      <w:numFmt w:val="decimal"/>
      <w:lvlText w:val="%1.%2.%3.%4.%5.%6.%7"/>
      <w:lvlJc w:val="left"/>
      <w:pPr>
        <w:tabs>
          <w:tab w:val="left" w:pos="6917"/>
        </w:tabs>
        <w:ind w:left="6917" w:hanging="1276"/>
      </w:pPr>
      <w:rPr>
        <w:rFonts w:hint="eastAsia"/>
      </w:rPr>
    </w:lvl>
    <w:lvl w:ilvl="7" w:tentative="0">
      <w:start w:val="1"/>
      <w:numFmt w:val="decimal"/>
      <w:lvlText w:val="%1.%2.%3.%4.%5.%6.%7.%8"/>
      <w:lvlJc w:val="left"/>
      <w:pPr>
        <w:tabs>
          <w:tab w:val="left" w:pos="7484"/>
        </w:tabs>
        <w:ind w:left="7484" w:hanging="1418"/>
      </w:pPr>
      <w:rPr>
        <w:rFonts w:hint="eastAsia"/>
      </w:rPr>
    </w:lvl>
    <w:lvl w:ilvl="8" w:tentative="0">
      <w:start w:val="1"/>
      <w:numFmt w:val="decimal"/>
      <w:lvlText w:val="%1.%2.%3.%4.%5.%6.%7.%8.%9"/>
      <w:lvlJc w:val="left"/>
      <w:pPr>
        <w:tabs>
          <w:tab w:val="left" w:pos="8192"/>
        </w:tabs>
        <w:ind w:left="8192" w:hanging="1700"/>
      </w:pPr>
      <w:rPr>
        <w:rFonts w:hint="eastAsia"/>
      </w:rPr>
    </w:lvl>
  </w:abstractNum>
  <w:abstractNum w:abstractNumId="3">
    <w:nsid w:val="657D3FBC"/>
    <w:multiLevelType w:val="multilevel"/>
    <w:tmpl w:val="657D3FBC"/>
    <w:lvl w:ilvl="0" w:tentative="0">
      <w:start w:val="1"/>
      <w:numFmt w:val="upperLetter"/>
      <w:pStyle w:val="2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9"/>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pStyle w:val="25"/>
      <w:suff w:val="nothing"/>
      <w:lvlText w:val="%1.%2.%3.%4　"/>
      <w:lvlJc w:val="left"/>
      <w:pPr>
        <w:ind w:left="0" w:firstLine="0"/>
      </w:pPr>
      <w:rPr>
        <w:rFonts w:hint="eastAsia" w:ascii="黑体" w:hAnsi="Times New Roman" w:eastAsia="黑体"/>
        <w:b w:val="0"/>
        <w:i w:val="0"/>
        <w:sz w:val="21"/>
      </w:rPr>
    </w:lvl>
    <w:lvl w:ilvl="4" w:tentative="0">
      <w:start w:val="1"/>
      <w:numFmt w:val="decimal"/>
      <w:pStyle w:val="26"/>
      <w:suff w:val="nothing"/>
      <w:lvlText w:val="%1.%2.%3.%4.%5　"/>
      <w:lvlJc w:val="left"/>
      <w:pPr>
        <w:ind w:left="0" w:firstLine="0"/>
      </w:pPr>
      <w:rPr>
        <w:rFonts w:hint="eastAsia" w:ascii="黑体" w:hAnsi="Times New Roman" w:eastAsia="黑体"/>
        <w:b w:val="0"/>
        <w:i w:val="0"/>
        <w:sz w:val="21"/>
      </w:rPr>
    </w:lvl>
    <w:lvl w:ilvl="5" w:tentative="0">
      <w:start w:val="1"/>
      <w:numFmt w:val="decimal"/>
      <w:pStyle w:val="27"/>
      <w:suff w:val="nothing"/>
      <w:lvlText w:val="%1.%2.%3.%4.%5.%6　"/>
      <w:lvlJc w:val="left"/>
      <w:pPr>
        <w:ind w:left="0" w:firstLine="0"/>
      </w:pPr>
      <w:rPr>
        <w:rFonts w:hint="eastAsia" w:ascii="黑体" w:hAnsi="Times New Roman" w:eastAsia="黑体"/>
        <w:b w:val="0"/>
        <w:i w:val="0"/>
        <w:sz w:val="21"/>
      </w:rPr>
    </w:lvl>
    <w:lvl w:ilvl="6" w:tentative="0">
      <w:start w:val="1"/>
      <w:numFmt w:val="decimal"/>
      <w:pStyle w:val="2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6CEA2025"/>
    <w:multiLevelType w:val="multilevel"/>
    <w:tmpl w:val="6CEA2025"/>
    <w:lvl w:ilvl="0" w:tentative="0">
      <w:start w:val="1"/>
      <w:numFmt w:val="none"/>
      <w:pStyle w:val="15"/>
      <w:suff w:val="nothing"/>
      <w:lvlText w:val="%1"/>
      <w:lvlJc w:val="left"/>
      <w:pPr>
        <w:ind w:left="0" w:firstLine="0"/>
      </w:pPr>
      <w:rPr>
        <w:rFonts w:hint="default" w:ascii="Times New Roman" w:hAnsi="Times New Roman" w:cs="Times New Roman"/>
        <w:b/>
        <w:i w:val="0"/>
        <w:sz w:val="21"/>
      </w:rPr>
    </w:lvl>
    <w:lvl w:ilvl="1" w:tentative="0">
      <w:start w:val="1"/>
      <w:numFmt w:val="decimal"/>
      <w:pStyle w:val="16"/>
      <w:suff w:val="nothing"/>
      <w:lvlText w:val="%1%2　"/>
      <w:lvlJc w:val="left"/>
      <w:pPr>
        <w:ind w:left="0" w:firstLine="0"/>
      </w:pPr>
      <w:rPr>
        <w:rFonts w:hint="eastAsia" w:ascii="黑体" w:hAnsi="Times New Roman" w:eastAsia="黑体"/>
        <w:b w:val="0"/>
        <w:i w:val="0"/>
        <w:sz w:val="21"/>
      </w:rPr>
    </w:lvl>
    <w:lvl w:ilvl="2" w:tentative="0">
      <w:start w:val="1"/>
      <w:numFmt w:val="decimal"/>
      <w:pStyle w:val="21"/>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426"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pStyle w:val="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EwNDRhMGJjM2Q3NWY5ZjZhNjlkODE1YmRjOGU1MDMifQ=="/>
  </w:docVars>
  <w:rsids>
    <w:rsidRoot w:val="00254DF5"/>
    <w:rsid w:val="00110354"/>
    <w:rsid w:val="001A37E4"/>
    <w:rsid w:val="00254DF5"/>
    <w:rsid w:val="00266AE0"/>
    <w:rsid w:val="002731A8"/>
    <w:rsid w:val="002F7CFA"/>
    <w:rsid w:val="003B7C11"/>
    <w:rsid w:val="005811E6"/>
    <w:rsid w:val="00677214"/>
    <w:rsid w:val="006B21B9"/>
    <w:rsid w:val="00796A74"/>
    <w:rsid w:val="007E1E70"/>
    <w:rsid w:val="00B84876"/>
    <w:rsid w:val="00EF7D9B"/>
    <w:rsid w:val="3F711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0"/>
    <w:pPr>
      <w:keepNext/>
      <w:keepLines/>
      <w:spacing w:beforeLines="100"/>
      <w:jc w:val="center"/>
      <w:outlineLvl w:val="0"/>
    </w:pPr>
    <w:rPr>
      <w:kern w:val="44"/>
      <w:sz w:val="28"/>
      <w:szCs w:val="44"/>
    </w:rPr>
  </w:style>
  <w:style w:type="paragraph" w:styleId="3">
    <w:name w:val="heading 3"/>
    <w:basedOn w:val="1"/>
    <w:next w:val="1"/>
    <w:link w:val="35"/>
    <w:semiHidden/>
    <w:unhideWhenUsed/>
    <w:qFormat/>
    <w:uiPriority w:val="9"/>
    <w:pPr>
      <w:keepNext/>
      <w:keepLines/>
      <w:spacing w:before="260" w:after="260" w:line="415" w:lineRule="auto"/>
      <w:outlineLvl w:val="2"/>
    </w:pPr>
    <w:rPr>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2"/>
    <w:unhideWhenUsed/>
    <w:uiPriority w:val="0"/>
    <w:rPr>
      <w:rFonts w:ascii="宋体" w:hAnsi="Courier New"/>
      <w:szCs w:val="20"/>
    </w:rPr>
  </w:style>
  <w:style w:type="paragraph" w:styleId="5">
    <w:name w:val="footer"/>
    <w:basedOn w:val="1"/>
    <w:link w:val="36"/>
    <w:semiHidden/>
    <w:unhideWhenUsed/>
    <w:uiPriority w:val="99"/>
    <w:pPr>
      <w:tabs>
        <w:tab w:val="center" w:pos="4153"/>
        <w:tab w:val="right" w:pos="8306"/>
      </w:tabs>
      <w:snapToGrid w:val="0"/>
      <w:jc w:val="left"/>
    </w:pPr>
    <w:rPr>
      <w:sz w:val="18"/>
      <w:szCs w:val="18"/>
    </w:rPr>
  </w:style>
  <w:style w:type="paragraph" w:styleId="6">
    <w:name w:val="header"/>
    <w:basedOn w:val="1"/>
    <w:link w:val="11"/>
    <w:semiHidden/>
    <w:unhideWhenUsed/>
    <w:uiPriority w:val="99"/>
    <w:pPr>
      <w:numPr>
        <w:ilvl w:val="6"/>
        <w:numId w:val="1"/>
      </w:num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10">
    <w:name w:val="Hyperlink"/>
    <w:basedOn w:val="9"/>
    <w:semiHidden/>
    <w:unhideWhenUsed/>
    <w:uiPriority w:val="99"/>
    <w:rPr>
      <w:color w:val="0000FF"/>
      <w:u w:val="single"/>
    </w:rPr>
  </w:style>
  <w:style w:type="character" w:customStyle="1" w:styleId="11">
    <w:name w:val="页眉 Char"/>
    <w:basedOn w:val="9"/>
    <w:link w:val="6"/>
    <w:semiHidden/>
    <w:uiPriority w:val="99"/>
    <w:rPr>
      <w:rFonts w:ascii="Times New Roman" w:hAnsi="Times New Roman" w:eastAsia="宋体" w:cs="Times New Roman"/>
      <w:sz w:val="18"/>
      <w:szCs w:val="18"/>
    </w:rPr>
  </w:style>
  <w:style w:type="character" w:customStyle="1" w:styleId="12">
    <w:name w:val="纯文本 Char"/>
    <w:basedOn w:val="9"/>
    <w:link w:val="4"/>
    <w:qFormat/>
    <w:uiPriority w:val="0"/>
    <w:rPr>
      <w:rFonts w:ascii="宋体" w:hAnsi="Courier New" w:eastAsia="宋体" w:cs="Times New Roman"/>
      <w:szCs w:val="20"/>
    </w:rPr>
  </w:style>
  <w:style w:type="character" w:customStyle="1" w:styleId="13">
    <w:name w:val="段 Char"/>
    <w:link w:val="14"/>
    <w:qFormat/>
    <w:locked/>
    <w:uiPriority w:val="0"/>
    <w:rPr>
      <w:rFonts w:ascii="宋体" w:hAnsi="宋体" w:eastAsia="宋体"/>
    </w:rPr>
  </w:style>
  <w:style w:type="paragraph" w:customStyle="1" w:styleId="14">
    <w:name w:val="段"/>
    <w:link w:val="13"/>
    <w:qFormat/>
    <w:uiPriority w:val="0"/>
    <w:pPr>
      <w:autoSpaceDE w:val="0"/>
      <w:autoSpaceDN w:val="0"/>
      <w:ind w:firstLine="200" w:firstLineChars="200"/>
      <w:jc w:val="both"/>
    </w:pPr>
    <w:rPr>
      <w:rFonts w:ascii="宋体" w:hAnsi="宋体" w:eastAsia="宋体" w:cstheme="minorBidi"/>
      <w:kern w:val="2"/>
      <w:sz w:val="21"/>
      <w:szCs w:val="22"/>
      <w:lang w:val="en-US" w:eastAsia="zh-CN" w:bidi="ar-SA"/>
    </w:rPr>
  </w:style>
  <w:style w:type="paragraph" w:customStyle="1" w:styleId="15">
    <w:name w:val="前言、引言标题"/>
    <w:next w:val="1"/>
    <w:qFormat/>
    <w:uiPriority w:val="99"/>
    <w:pPr>
      <w:numPr>
        <w:ilvl w:val="0"/>
        <w:numId w:val="1"/>
      </w:numPr>
      <w:shd w:val="clear" w:color="auto"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6">
    <w:name w:val="章标题"/>
    <w:next w:val="14"/>
    <w:uiPriority w:val="0"/>
    <w:pPr>
      <w:numPr>
        <w:ilvl w:val="1"/>
        <w:numId w:val="1"/>
      </w:numPr>
      <w:spacing w:beforeLines="50" w:afterLines="50"/>
      <w:jc w:val="both"/>
      <w:outlineLvl w:val="1"/>
    </w:pPr>
    <w:rPr>
      <w:rFonts w:ascii="黑体" w:hAnsi="Times New Roman" w:eastAsia="黑体" w:cs="Times New Roman"/>
      <w:kern w:val="0"/>
      <w:sz w:val="21"/>
      <w:szCs w:val="20"/>
      <w:lang w:val="en-US" w:eastAsia="zh-CN" w:bidi="ar-SA"/>
    </w:rPr>
  </w:style>
  <w:style w:type="paragraph" w:customStyle="1" w:styleId="17">
    <w:name w:val="一级条标题"/>
    <w:next w:val="14"/>
    <w:uiPriority w:val="0"/>
    <w:pPr>
      <w:tabs>
        <w:tab w:val="left" w:pos="360"/>
      </w:tabs>
      <w:outlineLvl w:val="2"/>
    </w:pPr>
    <w:rPr>
      <w:rFonts w:ascii="Times New Roman" w:hAnsi="Times New Roman" w:eastAsia="黑体" w:cs="Times New Roman"/>
      <w:kern w:val="0"/>
      <w:sz w:val="21"/>
      <w:szCs w:val="20"/>
      <w:lang w:val="en-US" w:eastAsia="zh-CN" w:bidi="ar-SA"/>
    </w:rPr>
  </w:style>
  <w:style w:type="paragraph" w:customStyle="1" w:styleId="18">
    <w:name w:val="二级条标题"/>
    <w:basedOn w:val="17"/>
    <w:next w:val="14"/>
    <w:uiPriority w:val="0"/>
    <w:pPr>
      <w:numPr>
        <w:ilvl w:val="3"/>
        <w:numId w:val="1"/>
      </w:numPr>
      <w:outlineLvl w:val="3"/>
    </w:pPr>
  </w:style>
  <w:style w:type="paragraph" w:customStyle="1" w:styleId="19">
    <w:name w:val="实施日期"/>
    <w:basedOn w:val="1"/>
    <w:uiPriority w:val="99"/>
    <w:pPr>
      <w:framePr w:w="4000" w:h="473" w:vSpace="180" w:wrap="around" w:vAnchor="margin" w:hAnchor="margin" w:xAlign="right" w:y="13511" w:anchorLock="1"/>
      <w:widowControl/>
      <w:numPr>
        <w:ilvl w:val="4"/>
        <w:numId w:val="1"/>
      </w:numPr>
      <w:jc w:val="right"/>
    </w:pPr>
    <w:rPr>
      <w:rFonts w:eastAsia="黑体"/>
      <w:kern w:val="0"/>
      <w:sz w:val="28"/>
      <w:szCs w:val="20"/>
    </w:rPr>
  </w:style>
  <w:style w:type="paragraph" w:customStyle="1" w:styleId="20">
    <w:name w:val="图表脚注"/>
    <w:next w:val="14"/>
    <w:uiPriority w:val="99"/>
    <w:pPr>
      <w:numPr>
        <w:ilvl w:val="5"/>
        <w:numId w:val="1"/>
      </w:numPr>
      <w:ind w:left="300" w:leftChars="200" w:hanging="100" w:hangingChars="100"/>
      <w:jc w:val="both"/>
    </w:pPr>
    <w:rPr>
      <w:rFonts w:ascii="宋体" w:hAnsi="Times New Roman" w:eastAsia="宋体" w:cs="Times New Roman"/>
      <w:kern w:val="0"/>
      <w:sz w:val="18"/>
      <w:szCs w:val="20"/>
      <w:lang w:val="en-US" w:eastAsia="zh-CN" w:bidi="ar-SA"/>
    </w:rPr>
  </w:style>
  <w:style w:type="paragraph" w:customStyle="1" w:styleId="21">
    <w:name w:val="二级无"/>
    <w:basedOn w:val="18"/>
    <w:uiPriority w:val="99"/>
    <w:pPr>
      <w:numPr>
        <w:ilvl w:val="2"/>
      </w:numPr>
    </w:pPr>
    <w:rPr>
      <w:rFonts w:ascii="宋体" w:eastAsia="宋体"/>
      <w:szCs w:val="21"/>
    </w:rPr>
  </w:style>
  <w:style w:type="paragraph" w:customStyle="1" w:styleId="22">
    <w:name w:val="三级条标题"/>
    <w:basedOn w:val="18"/>
    <w:next w:val="1"/>
    <w:qFormat/>
    <w:uiPriority w:val="0"/>
    <w:pPr>
      <w:numPr>
        <w:ilvl w:val="0"/>
        <w:numId w:val="0"/>
      </w:numPr>
      <w:spacing w:beforeLines="50"/>
      <w:outlineLvl w:val="4"/>
    </w:pPr>
    <w:rPr>
      <w:rFonts w:ascii="黑体"/>
      <w:szCs w:val="21"/>
    </w:rPr>
  </w:style>
  <w:style w:type="paragraph" w:customStyle="1" w:styleId="23">
    <w:name w:val="正文+首行缩进"/>
    <w:basedOn w:val="1"/>
    <w:qFormat/>
    <w:uiPriority w:val="0"/>
    <w:pPr>
      <w:spacing w:line="360" w:lineRule="auto"/>
      <w:ind w:firstLine="200" w:firstLineChars="200"/>
    </w:pPr>
    <w:rPr>
      <w:szCs w:val="22"/>
    </w:rPr>
  </w:style>
  <w:style w:type="paragraph" w:customStyle="1" w:styleId="24">
    <w:name w:val="附录标识"/>
    <w:basedOn w:val="1"/>
    <w:next w:val="14"/>
    <w:uiPriority w:val="99"/>
    <w:pPr>
      <w:keepNext/>
      <w:widowControl/>
      <w:numPr>
        <w:ilvl w:val="0"/>
        <w:numId w:val="2"/>
      </w:numPr>
      <w:shd w:val="clear" w:color="auto" w:fill="FFFFFF"/>
      <w:tabs>
        <w:tab w:val="left" w:pos="360"/>
        <w:tab w:val="left" w:pos="6405"/>
      </w:tabs>
      <w:spacing w:before="640" w:after="280"/>
      <w:jc w:val="center"/>
      <w:outlineLvl w:val="0"/>
    </w:pPr>
    <w:rPr>
      <w:rFonts w:ascii="黑体" w:eastAsia="黑体"/>
      <w:kern w:val="0"/>
      <w:szCs w:val="20"/>
    </w:rPr>
  </w:style>
  <w:style w:type="paragraph" w:customStyle="1" w:styleId="25">
    <w:name w:val="附录二级条标题"/>
    <w:basedOn w:val="1"/>
    <w:next w:val="14"/>
    <w:uiPriority w:val="99"/>
    <w:pPr>
      <w:widowControl/>
      <w:numPr>
        <w:ilvl w:val="3"/>
        <w:numId w:val="2"/>
      </w:numPr>
      <w:tabs>
        <w:tab w:val="left" w:pos="360"/>
      </w:tabs>
      <w:wordWrap w:val="0"/>
      <w:overflowPunct w:val="0"/>
      <w:autoSpaceDE w:val="0"/>
      <w:autoSpaceDN w:val="0"/>
      <w:spacing w:beforeLines="50"/>
      <w:outlineLvl w:val="3"/>
    </w:pPr>
    <w:rPr>
      <w:rFonts w:ascii="黑体" w:eastAsia="黑体"/>
      <w:kern w:val="21"/>
      <w:szCs w:val="20"/>
    </w:rPr>
  </w:style>
  <w:style w:type="paragraph" w:customStyle="1" w:styleId="26">
    <w:name w:val="附录三级条标题"/>
    <w:basedOn w:val="25"/>
    <w:next w:val="14"/>
    <w:uiPriority w:val="99"/>
    <w:pPr>
      <w:numPr>
        <w:ilvl w:val="4"/>
      </w:numPr>
      <w:outlineLvl w:val="4"/>
    </w:pPr>
  </w:style>
  <w:style w:type="paragraph" w:customStyle="1" w:styleId="27">
    <w:name w:val="附录四级条标题"/>
    <w:basedOn w:val="26"/>
    <w:next w:val="14"/>
    <w:uiPriority w:val="99"/>
    <w:pPr>
      <w:numPr>
        <w:ilvl w:val="5"/>
      </w:numPr>
      <w:outlineLvl w:val="5"/>
    </w:pPr>
  </w:style>
  <w:style w:type="paragraph" w:customStyle="1" w:styleId="28">
    <w:name w:val="附录五级条标题"/>
    <w:basedOn w:val="27"/>
    <w:next w:val="14"/>
    <w:uiPriority w:val="99"/>
    <w:pPr>
      <w:numPr>
        <w:ilvl w:val="6"/>
      </w:numPr>
      <w:outlineLvl w:val="6"/>
    </w:pPr>
  </w:style>
  <w:style w:type="paragraph" w:customStyle="1" w:styleId="29">
    <w:name w:val="附录章标题"/>
    <w:next w:val="14"/>
    <w:uiPriority w:val="99"/>
    <w:pPr>
      <w:numPr>
        <w:ilvl w:val="1"/>
        <w:numId w:val="2"/>
      </w:numPr>
      <w:tabs>
        <w:tab w:val="left" w:pos="360"/>
      </w:tabs>
      <w:wordWrap w:val="0"/>
      <w:overflowPunct w:val="0"/>
      <w:autoSpaceDE w:val="0"/>
      <w:spacing w:beforeLines="100"/>
      <w:jc w:val="both"/>
      <w:outlineLvl w:val="1"/>
    </w:pPr>
    <w:rPr>
      <w:rFonts w:ascii="黑体" w:hAnsi="Times New Roman" w:eastAsia="黑体" w:cs="Times New Roman"/>
      <w:kern w:val="21"/>
      <w:sz w:val="21"/>
      <w:szCs w:val="20"/>
      <w:lang w:val="en-US" w:eastAsia="zh-CN" w:bidi="ar-SA"/>
    </w:rPr>
  </w:style>
  <w:style w:type="paragraph" w:customStyle="1" w:styleId="30">
    <w:name w:val="附录一级条标题"/>
    <w:basedOn w:val="29"/>
    <w:next w:val="14"/>
    <w:uiPriority w:val="99"/>
    <w:pPr>
      <w:numPr>
        <w:ilvl w:val="2"/>
      </w:numPr>
      <w:autoSpaceDN w:val="0"/>
      <w:spacing w:beforeLines="50"/>
      <w:outlineLvl w:val="2"/>
    </w:pPr>
  </w:style>
  <w:style w:type="paragraph" w:customStyle="1" w:styleId="31">
    <w:name w:val="附录一级无"/>
    <w:basedOn w:val="30"/>
    <w:uiPriority w:val="99"/>
    <w:pPr>
      <w:tabs>
        <w:tab w:val="clear" w:pos="360"/>
      </w:tabs>
      <w:spacing w:beforeLines="0"/>
    </w:pPr>
    <w:rPr>
      <w:rFonts w:ascii="宋体" w:eastAsia="宋体"/>
      <w:szCs w:val="21"/>
    </w:rPr>
  </w:style>
  <w:style w:type="paragraph" w:customStyle="1" w:styleId="32">
    <w:name w:val="四级条标题"/>
    <w:basedOn w:val="22"/>
    <w:next w:val="14"/>
    <w:uiPriority w:val="0"/>
    <w:pPr>
      <w:spacing w:before="50" w:afterLines="50"/>
      <w:outlineLvl w:val="5"/>
    </w:pPr>
  </w:style>
  <w:style w:type="paragraph" w:customStyle="1" w:styleId="33">
    <w:name w:val="五级条标题"/>
    <w:basedOn w:val="32"/>
    <w:next w:val="14"/>
    <w:uiPriority w:val="0"/>
    <w:pPr>
      <w:outlineLvl w:val="6"/>
    </w:pPr>
  </w:style>
  <w:style w:type="character" w:customStyle="1" w:styleId="34">
    <w:name w:val="标题 1 Char"/>
    <w:basedOn w:val="9"/>
    <w:link w:val="2"/>
    <w:uiPriority w:val="0"/>
    <w:rPr>
      <w:rFonts w:ascii="Times New Roman" w:hAnsi="Times New Roman" w:eastAsia="宋体" w:cs="Times New Roman"/>
      <w:kern w:val="44"/>
      <w:sz w:val="28"/>
      <w:szCs w:val="44"/>
    </w:rPr>
  </w:style>
  <w:style w:type="character" w:customStyle="1" w:styleId="35">
    <w:name w:val="标题 3 Char"/>
    <w:basedOn w:val="9"/>
    <w:link w:val="3"/>
    <w:semiHidden/>
    <w:uiPriority w:val="9"/>
    <w:rPr>
      <w:rFonts w:ascii="Times New Roman" w:hAnsi="Times New Roman" w:eastAsia="宋体" w:cs="Times New Roman"/>
      <w:sz w:val="32"/>
      <w:szCs w:val="32"/>
    </w:rPr>
  </w:style>
  <w:style w:type="character" w:customStyle="1" w:styleId="36">
    <w:name w:val="页脚 Char"/>
    <w:basedOn w:val="9"/>
    <w:link w:val="5"/>
    <w:semiHidden/>
    <w:uiPriority w:val="99"/>
    <w:rPr>
      <w:rFonts w:ascii="Times New Roman" w:hAnsi="Times New Roman" w:eastAsia="宋体" w:cs="Times New Roman"/>
      <w:sz w:val="18"/>
      <w:szCs w:val="18"/>
    </w:rPr>
  </w:style>
  <w:style w:type="paragraph" w:customStyle="1" w:styleId="37">
    <w:name w:val="正文表标题"/>
    <w:next w:val="14"/>
    <w:uiPriority w:val="0"/>
    <w:pPr>
      <w:numPr>
        <w:ilvl w:val="0"/>
        <w:numId w:val="3"/>
      </w:numPr>
      <w:spacing w:beforeLines="50" w:afterLines="50"/>
      <w:jc w:val="center"/>
    </w:pPr>
    <w:rPr>
      <w:rFonts w:ascii="黑体" w:hAnsi="Times New Roman" w:eastAsia="黑体" w:cs="Times New Roman"/>
      <w:kern w:val="0"/>
      <w:sz w:val="21"/>
      <w:szCs w:val="20"/>
      <w:lang w:val="en-US" w:eastAsia="zh-CN" w:bidi="ar-SA"/>
    </w:rPr>
  </w:style>
  <w:style w:type="paragraph" w:customStyle="1" w:styleId="38">
    <w:name w:val="正文图标题"/>
    <w:next w:val="14"/>
    <w:uiPriority w:val="0"/>
    <w:pPr>
      <w:numPr>
        <w:ilvl w:val="0"/>
        <w:numId w:val="4"/>
      </w:numPr>
      <w:tabs>
        <w:tab w:val="left" w:pos="360"/>
      </w:tabs>
      <w:spacing w:beforeLines="50" w:afterLines="50"/>
      <w:ind w:left="0"/>
      <w:jc w:val="center"/>
    </w:pPr>
    <w:rPr>
      <w:rFonts w:ascii="黑体" w:hAnsi="Times New Roman" w:eastAsia="黑体" w:cs="Times New Roman"/>
      <w:kern w:val="0"/>
      <w:sz w:val="21"/>
      <w:szCs w:val="20"/>
      <w:lang w:val="en-US" w:eastAsia="zh-CN" w:bidi="ar-SA"/>
    </w:rPr>
  </w:style>
  <w:style w:type="paragraph" w:customStyle="1" w:styleId="39">
    <w:name w:val="其他发布日期"/>
    <w:basedOn w:val="1"/>
    <w:uiPriority w:val="0"/>
    <w:pPr>
      <w:framePr w:w="3997" w:h="471" w:hRule="exact" w:vSpace="181" w:wrap="around" w:vAnchor="page" w:hAnchor="page" w:x="1419" w:y="14097" w:anchorLock="1"/>
      <w:widowControl/>
      <w:numPr>
        <w:ilvl w:val="0"/>
        <w:numId w:val="5"/>
      </w:numPr>
      <w:jc w:val="left"/>
    </w:pPr>
    <w:rPr>
      <w:rFonts w:eastAsia="黑体"/>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2378</Words>
  <Characters>13561</Characters>
  <Lines>113</Lines>
  <Paragraphs>31</Paragraphs>
  <TotalTime>329</TotalTime>
  <ScaleCrop>false</ScaleCrop>
  <LinksUpToDate>false</LinksUpToDate>
  <CharactersWithSpaces>15908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2023-08-22T03:42:00Z</dcterms:created>
  <dc:creator>王小慧</dc:creator>
  <cp:lastModifiedBy>raul</cp:lastModifiedBy>
  <dcterms:modified xsi:type="dcterms:W3CDTF">2023-10-17T00:44:59Z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E65368684FA949A5A0B32C04F33ABA5A_12</vt:lpwstr>
  </property>
</Properties>
</file>