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cs="宋体"/>
          <w:b/>
          <w:bCs/>
          <w:kern w:val="0"/>
          <w:sz w:val="28"/>
          <w:szCs w:val="28"/>
        </w:rPr>
      </w:pPr>
      <w:r>
        <w:rPr>
          <w:rFonts w:hint="eastAsia" w:cs="宋体"/>
          <w:b/>
          <w:bCs/>
          <w:kern w:val="0"/>
          <w:sz w:val="28"/>
          <w:szCs w:val="28"/>
        </w:rPr>
        <w:t>《</w:t>
      </w:r>
      <w:r>
        <w:rPr>
          <w:rFonts w:hint="eastAsia" w:cs="宋体"/>
          <w:b/>
          <w:bCs/>
          <w:kern w:val="0"/>
          <w:sz w:val="28"/>
          <w:szCs w:val="28"/>
          <w:lang w:eastAsia="zh-CN"/>
        </w:rPr>
        <w:t>江香薷-水稻轮作</w:t>
      </w:r>
      <w:r>
        <w:rPr>
          <w:rFonts w:hint="eastAsia" w:cs="宋体"/>
          <w:b/>
          <w:bCs/>
          <w:kern w:val="0"/>
          <w:sz w:val="28"/>
          <w:szCs w:val="28"/>
        </w:rPr>
        <w:t>技术规程》</w:t>
      </w:r>
    </w:p>
    <w:p>
      <w:pPr>
        <w:spacing w:line="560" w:lineRule="exact"/>
        <w:jc w:val="center"/>
        <w:rPr>
          <w:rFonts w:hint="eastAsia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cs="宋体"/>
          <w:b/>
          <w:bCs/>
          <w:kern w:val="0"/>
          <w:sz w:val="28"/>
          <w:szCs w:val="28"/>
          <w:lang w:eastAsia="zh-CN"/>
        </w:rPr>
        <w:t>江西省地方标准编制说明</w:t>
      </w:r>
    </w:p>
    <w:p>
      <w:pPr>
        <w:spacing w:line="560" w:lineRule="exact"/>
        <w:jc w:val="center"/>
        <w:rPr>
          <w:rFonts w:hint="eastAsia" w:cs="宋体"/>
          <w:b/>
          <w:bCs/>
          <w:kern w:val="0"/>
          <w:sz w:val="28"/>
          <w:szCs w:val="28"/>
          <w:lang w:eastAsia="zh-CN"/>
        </w:rPr>
      </w:pPr>
    </w:p>
    <w:p>
      <w:pPr>
        <w:spacing w:line="440" w:lineRule="exact"/>
        <w:rPr>
          <w:rFonts w:ascii="Times New Roman" w:hAnsi="宋体" w:cs="宋体"/>
          <w:b/>
          <w:bCs/>
          <w:kern w:val="0"/>
          <w:sz w:val="24"/>
          <w:szCs w:val="24"/>
        </w:rPr>
      </w:pPr>
      <w:r>
        <w:rPr>
          <w:rFonts w:hint="eastAsia" w:ascii="Times New Roman" w:hAnsi="宋体" w:cs="宋体"/>
          <w:b/>
          <w:bCs/>
          <w:kern w:val="0"/>
          <w:sz w:val="24"/>
          <w:szCs w:val="24"/>
        </w:rPr>
        <w:t>一、目的和意义</w:t>
      </w:r>
    </w:p>
    <w:p>
      <w:pPr>
        <w:spacing w:line="440" w:lineRule="exact"/>
        <w:ind w:firstLine="480" w:firstLineChars="200"/>
        <w:rPr>
          <w:rFonts w:hint="eastAsia" w:ascii="Times New Roman" w:hAnsi="宋体" w:cs="宋体"/>
          <w:kern w:val="0"/>
          <w:sz w:val="24"/>
          <w:szCs w:val="24"/>
          <w:lang w:eastAsia="zh-CN"/>
        </w:rPr>
      </w:pP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江香薷在</w:t>
      </w:r>
      <w:r>
        <w:rPr>
          <w:rFonts w:hint="eastAsia" w:ascii="Times New Roman" w:hAnsi="宋体" w:cs="宋体"/>
          <w:kern w:val="0"/>
          <w:sz w:val="24"/>
          <w:szCs w:val="24"/>
        </w:rPr>
        <w:t>江西省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栽培历史超过千年，常年江</w:t>
      </w:r>
      <w:r>
        <w:rPr>
          <w:rFonts w:hint="eastAsia" w:ascii="Times New Roman" w:hAnsi="宋体" w:cs="宋体"/>
          <w:kern w:val="0"/>
          <w:sz w:val="24"/>
          <w:szCs w:val="24"/>
        </w:rPr>
        <w:t>香薷种植面积达6000亩以上，是国内人工栽培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</w:t>
      </w:r>
      <w:r>
        <w:rPr>
          <w:rFonts w:hint="eastAsia" w:ascii="Times New Roman" w:hAnsi="宋体" w:cs="宋体"/>
          <w:kern w:val="0"/>
          <w:sz w:val="24"/>
          <w:szCs w:val="24"/>
        </w:rPr>
        <w:t>香薷重要生产地和主产区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。为解决江香薷旱地连作病害重、产量低问题，近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20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年来江香薷人工栽培用地绝大部分都选择水稻田，收获期在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7月下旬至8月中下旬，严重影响粮食生产，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粮、药争地矛盾突出。随着可种植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江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香薷的水稻田供给紧缺和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江</w:t>
      </w:r>
      <w:bookmarkStart w:id="0" w:name="_GoBack"/>
      <w:bookmarkEnd w:id="0"/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香薷价格不断提高，江西民间自发实行江香薷-晚稻轮作，但该轮作模式对栽培时机、管理方法有特定的要求，操作不当可能造成后茬作物减产甚至绝收，有必要提出规范性标准。</w:t>
      </w:r>
    </w:p>
    <w:p>
      <w:pPr>
        <w:spacing w:line="440" w:lineRule="exact"/>
        <w:ind w:firstLine="480" w:firstLineChars="200"/>
        <w:rPr>
          <w:rFonts w:hint="eastAsia" w:ascii="Times New Roman" w:hAnsi="宋体" w:cs="宋体"/>
          <w:kern w:val="0"/>
          <w:sz w:val="24"/>
          <w:szCs w:val="24"/>
        </w:rPr>
      </w:pPr>
      <w:r>
        <w:rPr>
          <w:rFonts w:hint="eastAsia" w:ascii="Times New Roman" w:hAnsi="宋体" w:cs="宋体"/>
          <w:kern w:val="0"/>
          <w:sz w:val="24"/>
          <w:szCs w:val="24"/>
        </w:rPr>
        <w:t>江香薷-水稻轮作是我省江香薷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生产</w:t>
      </w:r>
      <w:r>
        <w:rPr>
          <w:rFonts w:hint="eastAsia" w:ascii="Times New Roman" w:hAnsi="宋体" w:cs="宋体"/>
          <w:kern w:val="0"/>
          <w:sz w:val="24"/>
          <w:szCs w:val="24"/>
        </w:rPr>
        <w:t>所特有的一种药粮轮作种植模式。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《江香薷-水稻轮作技术规程》严格规定了</w:t>
      </w:r>
      <w:r>
        <w:rPr>
          <w:rFonts w:hint="eastAsia" w:ascii="Times New Roman" w:hAnsi="宋体" w:cs="宋体"/>
          <w:kern w:val="0"/>
          <w:sz w:val="24"/>
          <w:szCs w:val="24"/>
        </w:rPr>
        <w:t>前茬江香薷的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肥料用量、</w:t>
      </w:r>
      <w:r>
        <w:rPr>
          <w:rFonts w:hint="eastAsia" w:ascii="Times New Roman" w:hAnsi="宋体" w:cs="宋体"/>
          <w:kern w:val="0"/>
          <w:sz w:val="24"/>
          <w:szCs w:val="24"/>
        </w:rPr>
        <w:t>播种期和收获期，后茬晚稻的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肥料用量、</w:t>
      </w:r>
      <w:r>
        <w:rPr>
          <w:rFonts w:hint="eastAsia" w:ascii="Times New Roman" w:hAnsi="宋体" w:cs="宋体"/>
          <w:kern w:val="0"/>
          <w:sz w:val="24"/>
          <w:szCs w:val="24"/>
        </w:rPr>
        <w:t>品种、播种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、移栽</w:t>
      </w:r>
      <w:r>
        <w:rPr>
          <w:rFonts w:hint="eastAsia" w:ascii="Times New Roman" w:hAnsi="宋体" w:cs="宋体"/>
          <w:kern w:val="0"/>
          <w:sz w:val="24"/>
          <w:szCs w:val="24"/>
        </w:rPr>
        <w:t>时间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</w:rPr>
        <w:t>与单独的江香薷生产技术规程和单独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的</w:t>
      </w:r>
      <w:r>
        <w:rPr>
          <w:rFonts w:hint="eastAsia" w:ascii="Times New Roman" w:hAnsi="宋体" w:cs="宋体"/>
          <w:kern w:val="0"/>
          <w:sz w:val="24"/>
          <w:szCs w:val="24"/>
        </w:rPr>
        <w:t>水稻生产技术规程有明显的区别。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实施规范化栽培可以在保证江香薷不减产、不降低质量的前提下，有效避免晚稻生产季节风险，既为市场提供稳定优质的药材，又最大限度地保障粮食生产，</w:t>
      </w:r>
      <w:r>
        <w:rPr>
          <w:rFonts w:hint="eastAsia" w:ascii="Times New Roman" w:hAnsi="宋体" w:cs="宋体"/>
          <w:kern w:val="0"/>
          <w:sz w:val="24"/>
          <w:szCs w:val="24"/>
        </w:rPr>
        <w:t>提升江香薷与水稻品质，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是解决粮药争地矛盾的关键技术措施之一</w:t>
      </w:r>
      <w:r>
        <w:rPr>
          <w:rFonts w:hint="eastAsia" w:ascii="Times New Roman" w:hAnsi="宋体" w:cs="宋体"/>
          <w:kern w:val="0"/>
          <w:sz w:val="24"/>
          <w:szCs w:val="24"/>
        </w:rPr>
        <w:t>。</w:t>
      </w:r>
    </w:p>
    <w:p>
      <w:pPr>
        <w:spacing w:line="440" w:lineRule="exact"/>
        <w:ind w:firstLine="480" w:firstLineChars="200"/>
        <w:rPr>
          <w:rFonts w:ascii="Times New Roman" w:hAnsi="宋体" w:cs="宋体"/>
          <w:b/>
          <w:bCs/>
          <w:kern w:val="0"/>
          <w:sz w:val="24"/>
          <w:szCs w:val="24"/>
        </w:rPr>
      </w:pPr>
      <w:r>
        <w:rPr>
          <w:rFonts w:hint="eastAsia" w:ascii="Times New Roman" w:hAnsi="宋体" w:cs="宋体"/>
          <w:kern w:val="0"/>
          <w:sz w:val="24"/>
          <w:szCs w:val="24"/>
        </w:rPr>
        <w:t>种植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</w:t>
      </w:r>
      <w:r>
        <w:rPr>
          <w:rFonts w:hint="eastAsia" w:ascii="Times New Roman" w:hAnsi="宋体" w:cs="宋体"/>
          <w:kern w:val="0"/>
          <w:sz w:val="24"/>
          <w:szCs w:val="24"/>
        </w:rPr>
        <w:t>香薷经济价值高，纯收益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远超</w:t>
      </w:r>
      <w:r>
        <w:rPr>
          <w:rFonts w:hint="eastAsia" w:ascii="Times New Roman" w:hAnsi="宋体" w:cs="宋体"/>
          <w:kern w:val="0"/>
          <w:sz w:val="24"/>
          <w:szCs w:val="24"/>
        </w:rPr>
        <w:t>早稻种植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Times New Roman" w:hAnsi="宋体" w:cs="宋体"/>
          <w:kern w:val="0"/>
          <w:sz w:val="24"/>
          <w:szCs w:val="24"/>
        </w:rPr>
        <w:t>与晚稻轮作后，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可提高肥料利用率，减少晚稻施肥量，</w:t>
      </w:r>
      <w:r>
        <w:rPr>
          <w:rFonts w:hint="eastAsia" w:ascii="Times New Roman" w:hAnsi="宋体" w:cs="宋体"/>
          <w:kern w:val="0"/>
          <w:sz w:val="24"/>
          <w:szCs w:val="24"/>
        </w:rPr>
        <w:t>增加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晚稻</w:t>
      </w:r>
      <w:r>
        <w:rPr>
          <w:rFonts w:hint="eastAsia" w:ascii="Times New Roman" w:hAnsi="宋体" w:cs="宋体"/>
          <w:kern w:val="0"/>
          <w:sz w:val="24"/>
          <w:szCs w:val="24"/>
        </w:rPr>
        <w:t>产量，为种植户带来更多的经济收益，具有不误农时、成本低、经济效益明显等特点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Times New Roman" w:hAnsi="宋体" w:cs="宋体"/>
          <w:kern w:val="0"/>
          <w:sz w:val="24"/>
          <w:szCs w:val="24"/>
        </w:rPr>
        <w:t>同时轮作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可以有效</w:t>
      </w:r>
      <w:r>
        <w:rPr>
          <w:rFonts w:hint="eastAsia" w:ascii="Times New Roman" w:hAnsi="宋体" w:cs="宋体"/>
          <w:kern w:val="0"/>
          <w:sz w:val="24"/>
          <w:szCs w:val="24"/>
        </w:rPr>
        <w:t>缓解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</w:t>
      </w:r>
      <w:r>
        <w:rPr>
          <w:rFonts w:hint="eastAsia" w:ascii="Times New Roman" w:hAnsi="宋体" w:cs="宋体"/>
          <w:kern w:val="0"/>
          <w:sz w:val="24"/>
          <w:szCs w:val="24"/>
        </w:rPr>
        <w:t>香薷连作障碍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</w:rPr>
        <w:t>减轻水稻的病虫害，改善土壤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微</w:t>
      </w:r>
      <w:r>
        <w:rPr>
          <w:rFonts w:hint="eastAsia" w:ascii="Times New Roman" w:hAnsi="宋体" w:cs="宋体"/>
          <w:kern w:val="0"/>
          <w:sz w:val="24"/>
          <w:szCs w:val="24"/>
        </w:rPr>
        <w:t>生态，实现可持续发展。</w:t>
      </w:r>
    </w:p>
    <w:p>
      <w:pPr>
        <w:spacing w:line="440" w:lineRule="exact"/>
        <w:ind w:firstLine="480" w:firstLineChars="200"/>
        <w:jc w:val="left"/>
        <w:rPr>
          <w:rFonts w:ascii="Times New Roman" w:hAnsi="宋体" w:cs="宋体"/>
          <w:kern w:val="0"/>
          <w:sz w:val="24"/>
          <w:szCs w:val="24"/>
        </w:rPr>
      </w:pPr>
      <w:r>
        <w:rPr>
          <w:rFonts w:hint="eastAsia" w:ascii="Times New Roman" w:hAnsi="宋体" w:cs="宋体"/>
          <w:kern w:val="0"/>
          <w:sz w:val="24"/>
          <w:szCs w:val="24"/>
        </w:rPr>
        <w:t>目前，水稻高效栽培技术研究比较多，江香薷栽培技术研究比较少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</w:rPr>
        <w:t>基于药粮轮作的绿色高效栽培技术研究的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更</w:t>
      </w:r>
      <w:r>
        <w:rPr>
          <w:rFonts w:hint="eastAsia" w:ascii="Times New Roman" w:hAnsi="宋体" w:cs="宋体"/>
          <w:kern w:val="0"/>
          <w:sz w:val="24"/>
          <w:szCs w:val="24"/>
        </w:rPr>
        <w:t>少。通过系统研究江香薷-水稻轮作技术，规范技术流程及技术参数，形成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并实施</w:t>
      </w:r>
      <w:r>
        <w:rPr>
          <w:rFonts w:hint="eastAsia" w:ascii="Times New Roman" w:hAnsi="宋体" w:cs="宋体"/>
          <w:kern w:val="0"/>
          <w:sz w:val="24"/>
          <w:szCs w:val="24"/>
        </w:rPr>
        <w:t>地方标准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Times New Roman" w:hAnsi="宋体" w:cs="宋体"/>
          <w:kern w:val="0"/>
          <w:sz w:val="24"/>
          <w:szCs w:val="24"/>
        </w:rPr>
        <w:t>江香薷-水稻轮作技术规程》，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将极大地推动我省江香薷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-水稻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轮作种植向</w:t>
      </w:r>
      <w:r>
        <w:rPr>
          <w:rFonts w:hint="eastAsia" w:ascii="Times New Roman" w:hAnsi="宋体" w:cs="宋体"/>
          <w:kern w:val="0"/>
          <w:sz w:val="24"/>
          <w:szCs w:val="24"/>
        </w:rPr>
        <w:t>规模化、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绿色</w:t>
      </w:r>
      <w:r>
        <w:rPr>
          <w:rFonts w:hint="eastAsia" w:ascii="Times New Roman" w:hAnsi="宋体" w:cs="宋体"/>
          <w:kern w:val="0"/>
          <w:sz w:val="24"/>
          <w:szCs w:val="24"/>
        </w:rPr>
        <w:t>化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Times New Roman" w:hAnsi="宋体" w:cs="宋体"/>
          <w:kern w:val="0"/>
          <w:sz w:val="24"/>
          <w:szCs w:val="24"/>
        </w:rPr>
        <w:t>标准化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、可持续化方向发展，形成</w:t>
      </w:r>
      <w:r>
        <w:rPr>
          <w:rFonts w:hint="eastAsia" w:ascii="Times New Roman" w:hAnsi="宋体" w:cs="宋体"/>
          <w:kern w:val="0"/>
          <w:sz w:val="24"/>
          <w:szCs w:val="24"/>
        </w:rPr>
        <w:t>产业特色，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降低产业风险，做到药、粮两不误，进一步</w:t>
      </w:r>
      <w:r>
        <w:rPr>
          <w:rFonts w:hint="eastAsia" w:ascii="Times New Roman" w:hAnsi="宋体" w:cs="宋体"/>
          <w:kern w:val="0"/>
          <w:sz w:val="24"/>
          <w:szCs w:val="24"/>
        </w:rPr>
        <w:t>提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高</w:t>
      </w:r>
      <w:r>
        <w:rPr>
          <w:rFonts w:hint="eastAsia" w:ascii="Times New Roman" w:hAnsi="宋体" w:cs="宋体"/>
          <w:kern w:val="0"/>
          <w:sz w:val="24"/>
          <w:szCs w:val="24"/>
        </w:rPr>
        <w:t>企业、种植户经济效益，促进中药材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、粮食生产高质量</w:t>
      </w:r>
      <w:r>
        <w:rPr>
          <w:rFonts w:hint="eastAsia" w:ascii="Times New Roman" w:hAnsi="宋体" w:cs="宋体"/>
          <w:kern w:val="0"/>
          <w:sz w:val="24"/>
          <w:szCs w:val="24"/>
        </w:rPr>
        <w:t>发展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</w:rPr>
        <w:t>对新时期江西省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江香薷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-水稻轮作</w:t>
      </w:r>
      <w:r>
        <w:rPr>
          <w:rFonts w:hint="eastAsia" w:ascii="Times New Roman" w:hAnsi="宋体" w:cs="宋体"/>
          <w:kern w:val="0"/>
          <w:sz w:val="24"/>
          <w:szCs w:val="24"/>
        </w:rPr>
        <w:t>产业化发展具有重要意义。</w:t>
      </w:r>
    </w:p>
    <w:p>
      <w:pPr>
        <w:spacing w:line="440" w:lineRule="exact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宋体" w:cs="宋体"/>
          <w:b/>
          <w:bCs/>
          <w:kern w:val="0"/>
          <w:sz w:val="24"/>
          <w:szCs w:val="24"/>
        </w:rPr>
        <w:t>二、标准编制概况</w:t>
      </w:r>
    </w:p>
    <w:p>
      <w:pPr>
        <w:spacing w:line="440" w:lineRule="exact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宋体" w:cs="宋体"/>
          <w:b/>
          <w:bCs/>
          <w:kern w:val="0"/>
          <w:sz w:val="24"/>
          <w:szCs w:val="24"/>
        </w:rPr>
        <w:t>（一）基本情况</w:t>
      </w:r>
    </w:p>
    <w:p>
      <w:pPr>
        <w:spacing w:line="440" w:lineRule="exact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hint="eastAsia" w:ascii="Times New Roman" w:hAnsi="宋体" w:cs="宋体"/>
          <w:kern w:val="0"/>
          <w:sz w:val="24"/>
          <w:szCs w:val="24"/>
        </w:rPr>
        <w:t>、本标准由江西省农业农村厅提出并归口。</w:t>
      </w:r>
    </w:p>
    <w:p>
      <w:pPr>
        <w:spacing w:line="440" w:lineRule="exact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hint="eastAsia" w:ascii="Times New Roman" w:hAnsi="宋体" w:cs="宋体"/>
          <w:kern w:val="0"/>
          <w:sz w:val="24"/>
          <w:szCs w:val="24"/>
        </w:rPr>
        <w:t>、本标准起草单位：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江西师范大学</w:t>
      </w:r>
      <w:r>
        <w:rPr>
          <w:rFonts w:hint="eastAsia" w:ascii="Times New Roman" w:hAnsi="宋体" w:cs="宋体"/>
          <w:kern w:val="0"/>
          <w:sz w:val="24"/>
          <w:szCs w:val="24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鹰潭市余江区农粮局，江西中医药大学，</w:t>
      </w:r>
      <w:r>
        <w:rPr>
          <w:rFonts w:hint="eastAsia" w:ascii="Times New Roman" w:hAnsi="宋体" w:cs="宋体"/>
          <w:kern w:val="0"/>
          <w:sz w:val="24"/>
          <w:szCs w:val="24"/>
        </w:rPr>
        <w:t>江西省新余市农业科学研究中心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</w:rPr>
        <w:t>新余市渝水区农业科学研究中心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宋体" w:cs="宋体"/>
          <w:kern w:val="0"/>
          <w:sz w:val="24"/>
          <w:szCs w:val="24"/>
        </w:rPr>
        <w:t>九江市农业科学院。</w:t>
      </w:r>
    </w:p>
    <w:p>
      <w:pPr>
        <w:spacing w:line="440" w:lineRule="exact"/>
        <w:ind w:firstLine="480" w:firstLineChars="2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hint="eastAsia" w:ascii="Times New Roman" w:hAnsi="宋体" w:cs="宋体"/>
          <w:kern w:val="0"/>
          <w:sz w:val="24"/>
          <w:szCs w:val="24"/>
        </w:rPr>
        <w:t>、本标准编写格式依据</w:t>
      </w:r>
      <w:r>
        <w:rPr>
          <w:rFonts w:ascii="Times New Roman" w:hAnsi="Times New Roman" w:cs="Times New Roman"/>
          <w:kern w:val="0"/>
          <w:sz w:val="24"/>
          <w:szCs w:val="24"/>
        </w:rPr>
        <w:t>GB/T1.1-2020</w:t>
      </w:r>
      <w:r>
        <w:rPr>
          <w:rFonts w:hint="eastAsia" w:ascii="Times New Roman" w:hAnsi="宋体" w:cs="宋体"/>
          <w:kern w:val="0"/>
          <w:sz w:val="24"/>
          <w:szCs w:val="24"/>
        </w:rPr>
        <w:t>《标准化工作导则第</w:t>
      </w: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hint="eastAsia" w:ascii="Times New Roman" w:hAnsi="宋体" w:cs="宋体"/>
          <w:kern w:val="0"/>
          <w:sz w:val="24"/>
          <w:szCs w:val="24"/>
        </w:rPr>
        <w:t>部分：标准的结构和编写》。</w:t>
      </w:r>
    </w:p>
    <w:p>
      <w:pPr>
        <w:pStyle w:val="4"/>
        <w:spacing w:line="440" w:lineRule="exact"/>
        <w:ind w:firstLine="31680"/>
        <w:rPr>
          <w:rFonts w:ascii="Times New Roman" w:hAnsi="宋体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宋体"/>
          <w:sz w:val="24"/>
          <w:szCs w:val="24"/>
        </w:rPr>
        <w:t>、本标准主要起草人：付学琴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周归荣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张寿文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段智辉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孙毛毛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甘燕云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刘春香</w:t>
      </w:r>
      <w:r>
        <w:rPr>
          <w:rFonts w:hint="eastAsia" w:ascii="Times New Roman" w:hAnsi="宋体"/>
          <w:sz w:val="24"/>
          <w:szCs w:val="24"/>
          <w:lang w:eastAsia="zh-CN"/>
        </w:rPr>
        <w:t>、</w:t>
      </w:r>
      <w:r>
        <w:rPr>
          <w:rFonts w:hint="eastAsia" w:ascii="Times New Roman" w:hAnsi="宋体"/>
          <w:sz w:val="24"/>
          <w:szCs w:val="24"/>
        </w:rPr>
        <w:t>江满霞。</w:t>
      </w:r>
    </w:p>
    <w:p>
      <w:pPr>
        <w:spacing w:line="440" w:lineRule="exact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5</w:t>
      </w:r>
      <w:r>
        <w:rPr>
          <w:rFonts w:hint="eastAsia" w:ascii="Times New Roman" w:hAnsi="宋体" w:cs="宋体"/>
          <w:kern w:val="0"/>
          <w:sz w:val="24"/>
          <w:szCs w:val="24"/>
        </w:rPr>
        <w:t>、本标准是在多年</w:t>
      </w:r>
      <w:r>
        <w:rPr>
          <w:rFonts w:hint="eastAsia" w:ascii="Times New Roman" w:hAnsi="宋体" w:cs="宋体"/>
          <w:kern w:val="0"/>
          <w:sz w:val="24"/>
          <w:szCs w:val="24"/>
          <w:lang w:eastAsia="zh-CN"/>
        </w:rPr>
        <w:t>江香薷</w:t>
      </w:r>
      <w:r>
        <w:rPr>
          <w:rFonts w:hint="eastAsia" w:ascii="Times New Roman" w:hAnsi="宋体" w:cs="宋体"/>
          <w:kern w:val="0"/>
          <w:sz w:val="24"/>
          <w:szCs w:val="24"/>
          <w:lang w:val="en-US" w:eastAsia="zh-CN"/>
        </w:rPr>
        <w:t>-水稻轮作</w:t>
      </w:r>
      <w:r>
        <w:rPr>
          <w:rFonts w:hint="eastAsia" w:ascii="Times New Roman" w:hAnsi="宋体" w:cs="宋体"/>
          <w:kern w:val="0"/>
          <w:sz w:val="24"/>
          <w:szCs w:val="24"/>
        </w:rPr>
        <w:t>试验的基础上，经科学试验示范，查阅相关资料文献，广泛收集和总结既有成果的基础上进行编制。</w:t>
      </w:r>
    </w:p>
    <w:p>
      <w:pPr>
        <w:spacing w:line="440" w:lineRule="exact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宋体" w:cs="宋体"/>
          <w:b/>
          <w:bCs/>
          <w:kern w:val="0"/>
          <w:sz w:val="24"/>
          <w:szCs w:val="24"/>
        </w:rPr>
        <w:t>（二）主要技术依据和部分条款说明</w:t>
      </w:r>
    </w:p>
    <w:p>
      <w:pPr>
        <w:spacing w:line="440" w:lineRule="exact"/>
        <w:ind w:firstLine="480" w:firstLineChars="200"/>
        <w:rPr>
          <w:rFonts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kern w:val="0"/>
          <w:sz w:val="24"/>
          <w:szCs w:val="24"/>
        </w:rPr>
        <w:t>编制遵循</w:t>
      </w:r>
      <w:r>
        <w:rPr>
          <w:rFonts w:hint="eastAsia" w:ascii="Times New Roman" w:hAnsi="Times New Roman" w:cs="Times New Roman"/>
          <w:kern w:val="0"/>
          <w:sz w:val="24"/>
          <w:szCs w:val="24"/>
          <w:lang w:eastAsia="zh-CN"/>
        </w:rPr>
        <w:t>“</w:t>
      </w:r>
      <w:r>
        <w:rPr>
          <w:rFonts w:hint="eastAsia" w:ascii="Times New Roman" w:hAnsi="宋体" w:cs="宋体"/>
          <w:kern w:val="0"/>
          <w:sz w:val="24"/>
          <w:szCs w:val="24"/>
        </w:rPr>
        <w:t>先进性、实用性、统一性</w:t>
      </w:r>
      <w:r>
        <w:rPr>
          <w:rFonts w:hint="eastAsia" w:ascii="Times New Roman" w:hAnsi="Times New Roman" w:cs="Times New Roman"/>
          <w:kern w:val="0"/>
          <w:sz w:val="24"/>
          <w:szCs w:val="24"/>
          <w:lang w:eastAsia="zh-CN"/>
        </w:rPr>
        <w:t>”</w:t>
      </w:r>
      <w:r>
        <w:rPr>
          <w:rFonts w:hint="eastAsia" w:ascii="Times New Roman" w:hAnsi="宋体" w:cs="宋体"/>
          <w:kern w:val="0"/>
          <w:sz w:val="24"/>
          <w:szCs w:val="24"/>
        </w:rPr>
        <w:t>的原则，注重了标准的可操作性，严格按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GB/T 1.1-2020 </w:t>
      </w:r>
      <w:r>
        <w:rPr>
          <w:rFonts w:hint="eastAsia" w:ascii="Times New Roman" w:hAnsi="宋体" w:cs="宋体"/>
          <w:kern w:val="0"/>
          <w:sz w:val="24"/>
          <w:szCs w:val="24"/>
        </w:rPr>
        <w:t>的最新版本的要求进行编写。</w:t>
      </w:r>
      <w:r>
        <w:rPr>
          <w:rFonts w:hint="eastAsia" w:ascii="Times New Roman" w:hAnsi="宋体" w:cs="宋体"/>
          <w:sz w:val="24"/>
          <w:szCs w:val="24"/>
        </w:rPr>
        <w:t>标准的主要内容：</w:t>
      </w:r>
      <w:r>
        <w:rPr>
          <w:rFonts w:hint="eastAsia" w:ascii="Times New Roman" w:hAnsi="宋体" w:cs="宋体"/>
          <w:sz w:val="24"/>
          <w:szCs w:val="24"/>
          <w:lang w:eastAsia="zh-CN"/>
        </w:rPr>
        <w:t>范围、规范性引用文件、产地环境和土壤选择、茬口安排</w:t>
      </w:r>
      <w:r>
        <w:rPr>
          <w:rFonts w:hint="eastAsia" w:ascii="Times New Roman" w:hAnsi="宋体" w:cs="宋体"/>
          <w:sz w:val="24"/>
          <w:szCs w:val="24"/>
        </w:rPr>
        <w:t>、</w:t>
      </w:r>
      <w:r>
        <w:rPr>
          <w:rFonts w:hint="eastAsia" w:ascii="Times New Roman" w:hAnsi="宋体" w:cs="宋体"/>
          <w:sz w:val="24"/>
          <w:szCs w:val="24"/>
          <w:lang w:eastAsia="zh-CN"/>
        </w:rPr>
        <w:t>品种选择</w:t>
      </w:r>
      <w:r>
        <w:rPr>
          <w:rFonts w:hint="eastAsia" w:ascii="Times New Roman" w:hAnsi="宋体" w:cs="宋体"/>
          <w:sz w:val="24"/>
          <w:szCs w:val="24"/>
        </w:rPr>
        <w:t>、播种、</w:t>
      </w:r>
      <w:r>
        <w:rPr>
          <w:rFonts w:hint="eastAsia" w:ascii="Times New Roman" w:hAnsi="宋体" w:cs="宋体"/>
          <w:sz w:val="24"/>
          <w:szCs w:val="24"/>
          <w:lang w:eastAsia="zh-CN"/>
        </w:rPr>
        <w:t>肥水</w:t>
      </w:r>
      <w:r>
        <w:rPr>
          <w:rFonts w:hint="eastAsia" w:ascii="Times New Roman" w:hAnsi="宋体" w:cs="宋体"/>
          <w:sz w:val="24"/>
          <w:szCs w:val="24"/>
        </w:rPr>
        <w:t>管理、病虫害防治等技术规范。</w:t>
      </w:r>
    </w:p>
    <w:p>
      <w:pPr>
        <w:adjustRightInd w:val="0"/>
        <w:snapToGrid w:val="0"/>
        <w:spacing w:line="440" w:lineRule="exac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宋体" w:cs="宋体"/>
          <w:sz w:val="24"/>
          <w:szCs w:val="24"/>
        </w:rPr>
        <w:t>、范围：这部分根据</w:t>
      </w:r>
      <w:r>
        <w:rPr>
          <w:rFonts w:ascii="Times New Roman" w:hAnsi="Times New Roman" w:cs="Times New Roman"/>
          <w:sz w:val="24"/>
          <w:szCs w:val="24"/>
        </w:rPr>
        <w:t>GB/T1.1-2020</w:t>
      </w:r>
      <w:r>
        <w:rPr>
          <w:rFonts w:hint="eastAsia" w:ascii="Times New Roman" w:hAnsi="宋体" w:cs="宋体"/>
          <w:sz w:val="24"/>
          <w:szCs w:val="24"/>
        </w:rPr>
        <w:t>的格式编写。本标准规定了</w:t>
      </w:r>
      <w:r>
        <w:rPr>
          <w:rFonts w:hint="eastAsia" w:ascii="Times New Roman" w:hAnsi="宋体" w:cs="宋体"/>
          <w:sz w:val="24"/>
          <w:szCs w:val="24"/>
          <w:lang w:eastAsia="zh-CN"/>
        </w:rPr>
        <w:t>江香薷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>-水稻轮作生产</w:t>
      </w:r>
      <w:r>
        <w:rPr>
          <w:rFonts w:hint="eastAsia" w:ascii="Times New Roman" w:hAnsi="宋体" w:cs="宋体"/>
          <w:sz w:val="24"/>
          <w:szCs w:val="24"/>
        </w:rPr>
        <w:t>全程</w:t>
      </w:r>
      <w:r>
        <w:rPr>
          <w:rFonts w:hint="eastAsia" w:ascii="Times New Roman" w:hAnsi="宋体" w:cs="宋体"/>
          <w:sz w:val="24"/>
          <w:szCs w:val="24"/>
          <w:lang w:eastAsia="zh-CN"/>
        </w:rPr>
        <w:t>操作标准</w:t>
      </w:r>
      <w:r>
        <w:rPr>
          <w:rFonts w:hint="eastAsia" w:ascii="Times New Roman" w:hAnsi="宋体" w:cs="宋体"/>
          <w:sz w:val="24"/>
          <w:szCs w:val="24"/>
        </w:rPr>
        <w:t>，适用于江西省</w:t>
      </w:r>
      <w:r>
        <w:rPr>
          <w:rFonts w:hint="eastAsia" w:ascii="Times New Roman" w:hAnsi="宋体" w:cs="宋体"/>
          <w:sz w:val="24"/>
          <w:szCs w:val="24"/>
          <w:lang w:eastAsia="zh-CN"/>
        </w:rPr>
        <w:t>及类似环境区的江香薷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>-水稻轮作规范化栽培</w:t>
      </w:r>
      <w:r>
        <w:rPr>
          <w:rFonts w:hint="eastAsia" w:ascii="Times New Roman" w:hAnsi="宋体" w:cs="宋体"/>
          <w:sz w:val="24"/>
          <w:szCs w:val="24"/>
        </w:rPr>
        <w:t>。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宋体" w:cs="宋体"/>
          <w:sz w:val="24"/>
          <w:szCs w:val="24"/>
        </w:rPr>
        <w:t>、规范性引用文件：引用文件引用的都是下文中所涉及到的各类技术标准。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GB3095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宋体" w:cs="宋体"/>
          <w:sz w:val="24"/>
          <w:szCs w:val="24"/>
        </w:rPr>
        <w:t>环境空气质量标准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GB5084-2005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宋体" w:cs="宋体"/>
          <w:sz w:val="24"/>
          <w:szCs w:val="24"/>
        </w:rPr>
        <w:t>农田灌溉水质标准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GB15618 土地环境质量 农用地土壤污染风险管控标准（试行）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GB8321（所有部分） 农药合理使用准则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NY/T496 肥料合理使用准则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NY525 有机肥料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中华人民共和国药典（2020年版）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GB4404.1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宋体" w:cs="宋体"/>
          <w:sz w:val="24"/>
          <w:szCs w:val="24"/>
        </w:rPr>
        <w:t>粮食作物种子 第1部分：禾谷类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NY/T1607-2008 水稻抛秧技术规程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DB36/T337-1999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宋体" w:cs="宋体"/>
          <w:sz w:val="24"/>
          <w:szCs w:val="24"/>
        </w:rPr>
        <w:t>优质稻生产技术规程</w:t>
      </w:r>
    </w:p>
    <w:p>
      <w:pPr>
        <w:spacing w:line="440" w:lineRule="exact"/>
        <w:ind w:firstLine="480"/>
        <w:rPr>
          <w:rFonts w:hint="eastAsia" w:ascii="Times New Roman" w:hAnsi="宋体" w:cs="宋体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</w:rPr>
        <w:t>DB36/T1077-2018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宋体" w:cs="宋体"/>
          <w:sz w:val="24"/>
          <w:szCs w:val="24"/>
        </w:rPr>
        <w:t xml:space="preserve">水稻病虫害绿色防控技术规程 </w:t>
      </w:r>
    </w:p>
    <w:p>
      <w:pPr>
        <w:spacing w:line="44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宋体" w:cs="宋体"/>
          <w:sz w:val="24"/>
          <w:szCs w:val="24"/>
        </w:rPr>
        <w:t>、术语和定义：</w:t>
      </w:r>
      <w:r>
        <w:rPr>
          <w:rFonts w:hint="eastAsia" w:ascii="Times New Roman" w:hAnsi="Times New Roman" w:cs="宋体"/>
          <w:sz w:val="24"/>
          <w:szCs w:val="24"/>
        </w:rPr>
        <w:t>参考了现行的我省及国家标准和国内有关文献资料，本技术规程采用的术语规范、明确。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宋体" w:cs="宋体"/>
          <w:sz w:val="24"/>
          <w:szCs w:val="24"/>
        </w:rPr>
        <w:t>、</w:t>
      </w:r>
      <w:r>
        <w:rPr>
          <w:rFonts w:hint="eastAsia" w:ascii="Times New Roman" w:hAnsi="宋体" w:cs="宋体"/>
          <w:sz w:val="24"/>
          <w:szCs w:val="24"/>
          <w:lang w:eastAsia="zh-CN"/>
        </w:rPr>
        <w:t>茬口安排：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sz w:val="24"/>
          <w:szCs w:val="24"/>
          <w:lang w:eastAsia="zh-CN"/>
        </w:rPr>
      </w:pPr>
      <w:r>
        <w:rPr>
          <w:rFonts w:hint="eastAsia" w:ascii="Times New Roman" w:hAnsi="宋体" w:cs="宋体"/>
          <w:sz w:val="24"/>
          <w:szCs w:val="24"/>
          <w:lang w:eastAsia="zh-CN"/>
        </w:rPr>
        <w:t>江香薷：3 月播种，7 月下旬收获，江香薷由传统半花半籽期采收，提前至始花期采收。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sz w:val="24"/>
          <w:szCs w:val="24"/>
          <w:lang w:eastAsia="zh-CN"/>
        </w:rPr>
      </w:pPr>
      <w:r>
        <w:rPr>
          <w:rFonts w:hint="eastAsia" w:ascii="Times New Roman" w:hAnsi="宋体" w:cs="宋体"/>
          <w:sz w:val="24"/>
          <w:szCs w:val="24"/>
          <w:lang w:eastAsia="zh-CN"/>
        </w:rPr>
        <w:t>晚稻：6月底至7月初播种，11月上旬收获。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sz w:val="24"/>
          <w:szCs w:val="24"/>
          <w:lang w:eastAsia="zh-CN"/>
        </w:rPr>
      </w:pPr>
      <w:r>
        <w:rPr>
          <w:rFonts w:hint="eastAsia" w:ascii="Times New Roman" w:hAnsi="宋体" w:cs="宋体"/>
          <w:sz w:val="24"/>
          <w:szCs w:val="24"/>
          <w:lang w:eastAsia="zh-CN"/>
        </w:rPr>
        <w:t>依据为：经连续多年多点试验，香薷7月20-31日收获与8月1-10日收获相比，产量、挥发油、黄酮类成分差异不显著且可以达到甚至超过中华人民共和国药典（2020年版）所规定的标准，可以适当提前采收，为后茬作物提供充足的生长时间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sz w:val="24"/>
          <w:szCs w:val="24"/>
          <w:lang w:eastAsia="zh-CN"/>
        </w:rPr>
      </w:pPr>
      <w:r>
        <w:rPr>
          <w:rFonts w:hint="eastAsia" w:ascii="Times New Roman" w:hAnsi="宋体" w:cs="宋体"/>
          <w:sz w:val="24"/>
          <w:szCs w:val="24"/>
          <w:lang w:val="en-US" w:eastAsia="zh-CN"/>
        </w:rPr>
        <w:t>茬</w:t>
      </w:r>
      <w:r>
        <w:rPr>
          <w:rFonts w:hint="eastAsia" w:ascii="Times New Roman" w:hAnsi="宋体" w:cs="宋体"/>
          <w:sz w:val="24"/>
          <w:szCs w:val="24"/>
          <w:lang w:eastAsia="zh-CN"/>
        </w:rPr>
        <w:t>口安排紧凑，主要得益于现代化农业生产的农业机械的使用，可以在短时间内完成收获、翻耕、移栽工作。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val="en-US" w:eastAsia="zh-CN"/>
        </w:rPr>
        <w:t>5、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</w:rPr>
        <w:t>品种选择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</w:rPr>
        <w:t>江香薷：选用江西主栽品种江香薷。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  <w:t>该品种为江西省民间自留栽培种，由野生香薷经多年人工栽培驯化而来，栽培历史悠久。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</w:rPr>
        <w:t>水稻：选用生育期在 110-115d、高产、优质、抗逆性强的水稻品种。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  <w:t>受有效生长时长限制，晚稻品种必须选择生育期短的品种。</w:t>
      </w:r>
    </w:p>
    <w:p>
      <w:pPr>
        <w:tabs>
          <w:tab w:val="left" w:pos="7380"/>
        </w:tabs>
        <w:spacing w:line="440" w:lineRule="exact"/>
        <w:ind w:right="105" w:rightChars="50" w:firstLine="480" w:firstLineChars="200"/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val="en-US" w:eastAsia="zh-CN"/>
        </w:rPr>
        <w:t>6、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  <w:t>施基肥</w:t>
      </w:r>
    </w:p>
    <w:p>
      <w:pPr>
        <w:tabs>
          <w:tab w:val="left" w:pos="461"/>
        </w:tabs>
        <w:spacing w:line="440" w:lineRule="exact"/>
        <w:ind w:right="105" w:rightChars="50" w:firstLine="480" w:firstLineChars="200"/>
        <w:rPr>
          <w:rFonts w:hint="default" w:ascii="Times New Roman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  <w:t>江香薷每667m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eastAsia="zh-CN"/>
        </w:rPr>
        <w:t xml:space="preserve"> 使用商品有机肥 2000kg-2500kg，钙镁磷肥 40kg。该用肥量为综合省内江香薷</w:t>
      </w:r>
      <w:r>
        <w:rPr>
          <w:rFonts w:hint="eastAsia" w:ascii="Times New Roman" w:hAnsi="宋体" w:cs="宋体"/>
          <w:b w:val="0"/>
          <w:bCs w:val="0"/>
          <w:kern w:val="0"/>
          <w:sz w:val="24"/>
          <w:szCs w:val="24"/>
          <w:lang w:val="en-US" w:eastAsia="zh-CN"/>
        </w:rPr>
        <w:t>-水稻轮作区经验施肥量，结合有机肥替代化肥的导向，经多年田间试验、示范得出的施肥量，晚稻整地泡田翻耕时不施基肥，利用江香薷生产季剩余养分代替基肥。检测显示，种植江香薷后的水稻土壤速效氮、磷、钾，交换性钙、镁，以及有效锰、硼、铁、铜、锌含量均比同期种植早稻的土壤高，土壤供肥能力有所提高，有利于晚稻生长，土壤肥力提高的直接原因是大量有机肥的施入。</w:t>
      </w:r>
    </w:p>
    <w:p>
      <w:pPr>
        <w:tabs>
          <w:tab w:val="left" w:pos="7380"/>
        </w:tabs>
        <w:spacing w:line="440" w:lineRule="exact"/>
        <w:ind w:right="105" w:rightChars="50" w:firstLine="482" w:firstLineChars="200"/>
        <w:rPr>
          <w:rFonts w:hint="eastAsia" w:ascii="Times New Roman" w:hAnsi="宋体" w:cs="宋体"/>
          <w:b/>
          <w:bCs/>
          <w:kern w:val="0"/>
          <w:sz w:val="24"/>
          <w:szCs w:val="24"/>
        </w:rPr>
      </w:pPr>
      <w:r>
        <w:rPr>
          <w:rFonts w:hint="eastAsia" w:ascii="Times New Roman" w:hAnsi="宋体" w:cs="宋体"/>
          <w:b/>
          <w:bCs/>
          <w:kern w:val="0"/>
          <w:sz w:val="24"/>
          <w:szCs w:val="24"/>
        </w:rPr>
        <w:t>（三）</w:t>
      </w:r>
      <w:r>
        <w:rPr>
          <w:rFonts w:hint="eastAsia" w:ascii="Times New Roman" w:hAnsi="宋体" w:cs="宋体"/>
          <w:b/>
          <w:bCs/>
          <w:kern w:val="0"/>
          <w:sz w:val="24"/>
          <w:szCs w:val="24"/>
          <w:lang w:eastAsia="zh-CN"/>
        </w:rPr>
        <w:t>江香薷-水稻轮作</w:t>
      </w:r>
      <w:r>
        <w:rPr>
          <w:rFonts w:hint="eastAsia" w:ascii="Times New Roman" w:hAnsi="宋体" w:cs="宋体"/>
          <w:b/>
          <w:bCs/>
          <w:kern w:val="0"/>
          <w:sz w:val="24"/>
          <w:szCs w:val="24"/>
        </w:rPr>
        <w:t>技术的确立</w:t>
      </w:r>
    </w:p>
    <w:p>
      <w:pPr>
        <w:spacing w:line="440" w:lineRule="exact"/>
        <w:ind w:firstLine="480" w:firstLineChars="200"/>
        <w:jc w:val="left"/>
        <w:rPr>
          <w:rFonts w:ascii="Times New Roman" w:hAnsi="宋体" w:cs="宋体"/>
          <w:kern w:val="0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江香薷-水稻轮作</w:t>
      </w:r>
      <w:r>
        <w:rPr>
          <w:rFonts w:hint="eastAsia" w:ascii="Times New Roman" w:hAnsi="Times New Roman"/>
          <w:sz w:val="24"/>
          <w:szCs w:val="24"/>
        </w:rPr>
        <w:t>技术的研究获得了江西省现代农业产业技术体系建设项目（</w:t>
      </w:r>
      <w:r>
        <w:rPr>
          <w:rFonts w:ascii="Times New Roman" w:hAnsi="Times New Roman"/>
          <w:sz w:val="24"/>
          <w:szCs w:val="24"/>
        </w:rPr>
        <w:t>JXARS-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/>
          <w:sz w:val="24"/>
          <w:szCs w:val="24"/>
        </w:rPr>
        <w:t>）资</w:t>
      </w:r>
      <w:r>
        <w:rPr>
          <w:rFonts w:hint="eastAsia" w:ascii="Times New Roman" w:hAnsi="宋体" w:cs="宋体"/>
          <w:sz w:val="24"/>
          <w:szCs w:val="24"/>
        </w:rPr>
        <w:t>助，</w:t>
      </w:r>
      <w:r>
        <w:rPr>
          <w:rFonts w:hint="eastAsia" w:ascii="Times New Roman" w:hAnsi="宋体" w:cs="宋体"/>
          <w:sz w:val="24"/>
          <w:szCs w:val="24"/>
          <w:lang w:eastAsia="zh-CN"/>
        </w:rPr>
        <w:t>得到了江西省农业农村厅大力支持。</w:t>
      </w:r>
      <w:r>
        <w:rPr>
          <w:rFonts w:hint="eastAsia" w:ascii="Times New Roman" w:hAnsi="宋体" w:cs="宋体"/>
          <w:sz w:val="24"/>
          <w:szCs w:val="24"/>
        </w:rPr>
        <w:t>该技术的提出充分考虑到我省</w:t>
      </w:r>
      <w:r>
        <w:rPr>
          <w:rFonts w:hint="eastAsia" w:ascii="Times New Roman" w:hAnsi="宋体" w:cs="宋体"/>
          <w:sz w:val="24"/>
          <w:szCs w:val="24"/>
          <w:lang w:eastAsia="zh-CN"/>
        </w:rPr>
        <w:t>中药材生产与水</w:t>
      </w:r>
      <w:r>
        <w:rPr>
          <w:rFonts w:hint="eastAsia" w:ascii="Times New Roman" w:hAnsi="宋体" w:cs="宋体"/>
          <w:sz w:val="24"/>
          <w:szCs w:val="24"/>
        </w:rPr>
        <w:t>稻</w:t>
      </w:r>
      <w:r>
        <w:rPr>
          <w:rFonts w:hint="eastAsia" w:ascii="Times New Roman" w:hAnsi="宋体" w:cs="宋体"/>
          <w:sz w:val="24"/>
          <w:szCs w:val="24"/>
          <w:lang w:eastAsia="zh-CN"/>
        </w:rPr>
        <w:t>争地的</w:t>
      </w:r>
      <w:r>
        <w:rPr>
          <w:rFonts w:hint="eastAsia" w:ascii="Times New Roman" w:hAnsi="宋体" w:cs="宋体"/>
          <w:sz w:val="24"/>
          <w:szCs w:val="24"/>
        </w:rPr>
        <w:t>突出矛盾，</w:t>
      </w:r>
      <w:r>
        <w:rPr>
          <w:rFonts w:hint="eastAsia" w:ascii="Times New Roman" w:hAnsi="宋体" w:cs="宋体"/>
          <w:b w:val="0"/>
          <w:bCs w:val="0"/>
          <w:sz w:val="24"/>
          <w:szCs w:val="24"/>
        </w:rPr>
        <w:t>通过</w:t>
      </w:r>
      <w:r>
        <w:rPr>
          <w:rFonts w:hint="eastAsia" w:ascii="Times New Roman" w:hAnsi="宋体" w:cs="宋体"/>
          <w:b w:val="0"/>
          <w:bCs w:val="0"/>
          <w:sz w:val="24"/>
          <w:szCs w:val="24"/>
          <w:lang w:eastAsia="zh-CN"/>
        </w:rPr>
        <w:t>多年</w:t>
      </w:r>
      <w:r>
        <w:rPr>
          <w:rFonts w:hint="eastAsia" w:ascii="Times New Roman" w:hAnsi="宋体" w:cs="宋体"/>
          <w:b w:val="0"/>
          <w:bCs w:val="0"/>
          <w:sz w:val="24"/>
          <w:szCs w:val="24"/>
        </w:rPr>
        <w:t>对比试验</w:t>
      </w:r>
      <w:r>
        <w:rPr>
          <w:rFonts w:hint="eastAsia" w:ascii="Times New Roman" w:hAnsi="宋体" w:cs="宋体"/>
          <w:b w:val="0"/>
          <w:bCs w:val="0"/>
          <w:sz w:val="24"/>
          <w:szCs w:val="24"/>
          <w:lang w:eastAsia="zh-CN"/>
        </w:rPr>
        <w:t>，大田</w:t>
      </w:r>
      <w:r>
        <w:rPr>
          <w:rFonts w:hint="eastAsia" w:ascii="Times New Roman" w:hAnsi="宋体" w:cs="宋体"/>
          <w:sz w:val="24"/>
          <w:szCs w:val="24"/>
        </w:rPr>
        <w:t>生产实践</w:t>
      </w:r>
      <w:r>
        <w:rPr>
          <w:rFonts w:hint="eastAsia" w:ascii="Times New Roman" w:hAnsi="宋体" w:cs="宋体"/>
          <w:sz w:val="24"/>
          <w:szCs w:val="24"/>
          <w:lang w:eastAsia="zh-CN"/>
        </w:rPr>
        <w:t>检验，</w:t>
      </w:r>
      <w:r>
        <w:rPr>
          <w:rFonts w:hint="eastAsia" w:ascii="Times New Roman" w:hAnsi="宋体" w:cs="宋体"/>
          <w:sz w:val="24"/>
          <w:szCs w:val="24"/>
        </w:rPr>
        <w:t>创新</w:t>
      </w:r>
      <w:r>
        <w:rPr>
          <w:rFonts w:hint="eastAsia" w:ascii="Times New Roman" w:hAnsi="宋体" w:cs="宋体"/>
          <w:sz w:val="24"/>
          <w:szCs w:val="24"/>
          <w:lang w:eastAsia="zh-CN"/>
        </w:rPr>
        <w:t>了江香薷采收的时期。</w:t>
      </w:r>
      <w:r>
        <w:rPr>
          <w:rFonts w:hint="eastAsia" w:ascii="Times New Roman" w:hAnsi="宋体" w:cs="宋体"/>
          <w:kern w:val="0"/>
          <w:sz w:val="24"/>
          <w:szCs w:val="24"/>
        </w:rPr>
        <w:t>在此基础上，通过参阅有关技术文献，集成编制了《</w:t>
      </w:r>
      <w:r>
        <w:rPr>
          <w:rFonts w:hint="eastAsia" w:ascii="Times New Roman" w:hAnsi="Times New Roman"/>
          <w:sz w:val="24"/>
          <w:szCs w:val="24"/>
          <w:lang w:eastAsia="zh-CN"/>
        </w:rPr>
        <w:t>江香薷-水稻轮作</w:t>
      </w:r>
      <w:r>
        <w:rPr>
          <w:rFonts w:hint="eastAsia" w:ascii="Times New Roman" w:hAnsi="Times New Roman"/>
          <w:sz w:val="24"/>
          <w:szCs w:val="24"/>
        </w:rPr>
        <w:t>技术</w:t>
      </w:r>
      <w:r>
        <w:rPr>
          <w:rFonts w:hint="eastAsia" w:ascii="Times New Roman" w:hAnsi="Times New Roman"/>
          <w:sz w:val="24"/>
          <w:szCs w:val="24"/>
          <w:lang w:eastAsia="zh-CN"/>
        </w:rPr>
        <w:t>规程</w:t>
      </w:r>
      <w:r>
        <w:rPr>
          <w:rFonts w:hint="eastAsia" w:ascii="Times New Roman" w:hAnsi="宋体" w:cs="宋体"/>
          <w:kern w:val="0"/>
          <w:sz w:val="24"/>
          <w:szCs w:val="24"/>
        </w:rPr>
        <w:t>》。</w:t>
      </w:r>
    </w:p>
    <w:p>
      <w:pPr>
        <w:spacing w:line="4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宋体" w:cs="宋体"/>
          <w:b/>
          <w:bCs/>
          <w:sz w:val="24"/>
          <w:szCs w:val="24"/>
        </w:rPr>
        <w:t>三、征求意见和修改情况</w:t>
      </w:r>
    </w:p>
    <w:p>
      <w:pPr>
        <w:spacing w:line="440" w:lineRule="exact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宋体" w:cs="宋体"/>
          <w:sz w:val="24"/>
          <w:szCs w:val="24"/>
        </w:rPr>
        <w:t>本规程在起草过程中，起草小组依据</w:t>
      </w:r>
      <w:r>
        <w:rPr>
          <w:rFonts w:hint="eastAsia" w:ascii="Times New Roman" w:hAnsi="宋体" w:cs="宋体"/>
          <w:sz w:val="24"/>
          <w:szCs w:val="24"/>
          <w:lang w:eastAsia="zh-CN"/>
        </w:rPr>
        <w:t>江香薷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>-水稻轮作</w:t>
      </w:r>
      <w:r>
        <w:rPr>
          <w:rFonts w:hint="eastAsia" w:ascii="Times New Roman" w:hAnsi="宋体" w:cs="宋体"/>
          <w:sz w:val="24"/>
          <w:szCs w:val="24"/>
        </w:rPr>
        <w:t>试验数据，形成了《</w:t>
      </w:r>
      <w:r>
        <w:rPr>
          <w:rFonts w:hint="eastAsia" w:ascii="Times New Roman" w:hAnsi="Times New Roman"/>
          <w:sz w:val="24"/>
          <w:szCs w:val="24"/>
          <w:lang w:eastAsia="zh-CN"/>
        </w:rPr>
        <w:t>江香薷-水稻轮作</w:t>
      </w:r>
      <w:r>
        <w:rPr>
          <w:rFonts w:hint="eastAsia" w:ascii="Times New Roman" w:hAnsi="Times New Roman"/>
          <w:sz w:val="24"/>
          <w:szCs w:val="24"/>
        </w:rPr>
        <w:t>技术</w:t>
      </w:r>
      <w:r>
        <w:rPr>
          <w:rFonts w:hint="eastAsia" w:ascii="Times New Roman" w:hAnsi="Times New Roman"/>
          <w:sz w:val="24"/>
          <w:szCs w:val="24"/>
          <w:lang w:val="en-US" w:eastAsia="zh-Hans"/>
        </w:rPr>
        <w:t>规程</w:t>
      </w:r>
      <w:r>
        <w:rPr>
          <w:rFonts w:hint="eastAsia" w:ascii="Times New Roman" w:hAnsi="宋体" w:cs="宋体"/>
          <w:sz w:val="24"/>
          <w:szCs w:val="24"/>
        </w:rPr>
        <w:t>》初稿</w:t>
      </w:r>
      <w:r>
        <w:rPr>
          <w:rFonts w:hint="eastAsia" w:ascii="Times New Roman" w:hAnsi="宋体" w:cs="宋体"/>
          <w:sz w:val="24"/>
          <w:szCs w:val="24"/>
          <w:lang w:eastAsia="zh-CN"/>
        </w:rPr>
        <w:t>，与江西省中药材产业技术体系专家、省内行业专家</w:t>
      </w:r>
      <w:r>
        <w:rPr>
          <w:rFonts w:hint="eastAsia" w:ascii="Times New Roman" w:hAnsi="宋体" w:cs="宋体"/>
          <w:sz w:val="24"/>
          <w:szCs w:val="24"/>
        </w:rPr>
        <w:t>进行了充分的讨论、交流，根据大家的意见，对初稿进行了认真修改、补充和完善，并向主管部门申请予以标准立项。</w:t>
      </w:r>
    </w:p>
    <w:p>
      <w:pPr>
        <w:spacing w:line="44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>
      <w:pPr>
        <w:spacing w:line="440" w:lineRule="exact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spacing w:line="4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宋体" w:cs="宋体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Times New Roman" w:hAnsi="宋体" w:cs="宋体"/>
          <w:sz w:val="24"/>
          <w:szCs w:val="24"/>
        </w:rPr>
        <w:t>《</w:t>
      </w:r>
      <w:r>
        <w:rPr>
          <w:rFonts w:hint="eastAsia" w:ascii="Times New Roman" w:hAnsi="Times New Roman"/>
          <w:sz w:val="24"/>
          <w:szCs w:val="24"/>
          <w:lang w:eastAsia="zh-CN"/>
        </w:rPr>
        <w:t>江香薷-水稻轮作</w:t>
      </w:r>
      <w:r>
        <w:rPr>
          <w:rFonts w:hint="eastAsia" w:ascii="Times New Roman" w:hAnsi="Times New Roman"/>
          <w:sz w:val="24"/>
          <w:szCs w:val="24"/>
        </w:rPr>
        <w:t>技术</w:t>
      </w:r>
      <w:r>
        <w:rPr>
          <w:rFonts w:hint="eastAsia" w:ascii="Times New Roman" w:hAnsi="Times New Roman"/>
          <w:sz w:val="24"/>
          <w:szCs w:val="24"/>
          <w:lang w:val="en-US" w:eastAsia="zh-Hans"/>
        </w:rPr>
        <w:t>规程</w:t>
      </w:r>
      <w:r>
        <w:rPr>
          <w:rFonts w:hint="eastAsia" w:ascii="Times New Roman" w:hAnsi="宋体" w:cs="宋体"/>
          <w:sz w:val="24"/>
          <w:szCs w:val="24"/>
        </w:rPr>
        <w:t>》</w:t>
      </w:r>
    </w:p>
    <w:p>
      <w:pPr>
        <w:spacing w:line="44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hint="eastAsia" w:ascii="Times New Roman" w:hAnsi="宋体" w:cs="宋体"/>
          <w:sz w:val="24"/>
          <w:szCs w:val="24"/>
        </w:rPr>
        <w:t>江西省地方标准起草小组</w:t>
      </w:r>
    </w:p>
    <w:p>
      <w:pPr>
        <w:spacing w:line="44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宋体" w:cs="宋体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宋体" w:cs="宋体"/>
          <w:sz w:val="24"/>
          <w:szCs w:val="24"/>
        </w:rPr>
        <w:t>月</w:t>
      </w:r>
      <w:r>
        <w:rPr>
          <w:rFonts w:hint="eastAsia" w:ascii="Times New Roman" w:hAnsi="宋体" w:cs="宋体"/>
          <w:sz w:val="24"/>
          <w:szCs w:val="24"/>
          <w:lang w:val="en-US" w:eastAsia="zh-CN"/>
        </w:rPr>
        <w:t>12</w:t>
      </w:r>
      <w:r>
        <w:rPr>
          <w:rFonts w:hint="eastAsia" w:ascii="Times New Roman" w:hAnsi="宋体" w:cs="宋体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NWJhMzZkNThiNDJhZWIzMTBkNmZkODdiMzJjMjIifQ=="/>
  </w:docVars>
  <w:rsids>
    <w:rsidRoot w:val="6C3820D7"/>
    <w:rsid w:val="01820D66"/>
    <w:rsid w:val="01FA03BD"/>
    <w:rsid w:val="0208054B"/>
    <w:rsid w:val="023E61DF"/>
    <w:rsid w:val="028249DE"/>
    <w:rsid w:val="07305B23"/>
    <w:rsid w:val="07675A47"/>
    <w:rsid w:val="09FA4BC7"/>
    <w:rsid w:val="0D1F5E05"/>
    <w:rsid w:val="0DF36302"/>
    <w:rsid w:val="11370E3E"/>
    <w:rsid w:val="122951F8"/>
    <w:rsid w:val="16A27F2B"/>
    <w:rsid w:val="17C70CD1"/>
    <w:rsid w:val="1CA3065C"/>
    <w:rsid w:val="1D4870F7"/>
    <w:rsid w:val="21810E85"/>
    <w:rsid w:val="223C1DC9"/>
    <w:rsid w:val="24847BA8"/>
    <w:rsid w:val="267715F0"/>
    <w:rsid w:val="27050D40"/>
    <w:rsid w:val="272250BD"/>
    <w:rsid w:val="2762627F"/>
    <w:rsid w:val="294E4084"/>
    <w:rsid w:val="2A3764DB"/>
    <w:rsid w:val="2F971705"/>
    <w:rsid w:val="33837901"/>
    <w:rsid w:val="370145AE"/>
    <w:rsid w:val="37FB38B8"/>
    <w:rsid w:val="384D4FD8"/>
    <w:rsid w:val="3CB51AF1"/>
    <w:rsid w:val="408E6E7C"/>
    <w:rsid w:val="41FA186F"/>
    <w:rsid w:val="4575232D"/>
    <w:rsid w:val="495D0F14"/>
    <w:rsid w:val="4BA705AE"/>
    <w:rsid w:val="4C3378A5"/>
    <w:rsid w:val="4D39287A"/>
    <w:rsid w:val="4E9B478D"/>
    <w:rsid w:val="50AE1CBB"/>
    <w:rsid w:val="51B61FAC"/>
    <w:rsid w:val="53BD700D"/>
    <w:rsid w:val="5468602F"/>
    <w:rsid w:val="56156193"/>
    <w:rsid w:val="56D7393C"/>
    <w:rsid w:val="583D0916"/>
    <w:rsid w:val="58466FCB"/>
    <w:rsid w:val="5DEC7DC8"/>
    <w:rsid w:val="5ED24AF1"/>
    <w:rsid w:val="66FA5492"/>
    <w:rsid w:val="6BF738ED"/>
    <w:rsid w:val="6C3820D7"/>
    <w:rsid w:val="6DBA469B"/>
    <w:rsid w:val="6F106F87"/>
    <w:rsid w:val="70172002"/>
    <w:rsid w:val="721E46A1"/>
    <w:rsid w:val="72464119"/>
    <w:rsid w:val="7ADE27E3"/>
    <w:rsid w:val="7C38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宋体"/>
      <w:kern w:val="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2023-11-11T13:11:00Z</dcterms:created>
  <dc:creator>Administrator</dc:creator>
  <cp:lastModifiedBy>奇怪的石头</cp:lastModifiedBy>
  <dcterms:modified xsi:type="dcterms:W3CDTF">2023-11-13T06:00:59Z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86933F9F92574F029720FCA5D79C53A4_11</vt:lpwstr>
  </property>
</Properties>
</file>