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tLeast"/>
        <w:jc w:val="center"/>
        <w:rPr>
          <w:rFonts w:eastAsia="方正小标宋简体"/>
          <w:sz w:val="36"/>
          <w:szCs w:val="36"/>
        </w:rPr>
      </w:pPr>
      <w:r>
        <w:rPr>
          <w:rFonts w:eastAsia="方正小标宋简体"/>
          <w:sz w:val="36"/>
          <w:szCs w:val="36"/>
        </w:rPr>
        <w:t>《</w:t>
      </w:r>
      <w:bookmarkStart w:id="0" w:name="_Hlk157507368"/>
      <w:bookmarkStart w:id="1" w:name="OLE_LINK1"/>
      <w:r>
        <w:rPr>
          <w:rFonts w:hint="eastAsia" w:eastAsia="方正小标宋简体"/>
          <w:sz w:val="36"/>
          <w:szCs w:val="36"/>
        </w:rPr>
        <w:t>瑞昌山药</w:t>
      </w:r>
      <w:r>
        <w:rPr>
          <w:rFonts w:hint="default" w:eastAsia="方正小标宋简体"/>
          <w:sz w:val="36"/>
          <w:szCs w:val="36"/>
          <w:lang w:val="en-US" w:eastAsia="zh-CN"/>
        </w:rPr>
        <w:t>生产</w:t>
      </w:r>
      <w:r>
        <w:rPr>
          <w:rFonts w:hint="eastAsia" w:eastAsia="方正小标宋简体"/>
          <w:sz w:val="36"/>
          <w:szCs w:val="36"/>
        </w:rPr>
        <w:t>技术规程</w:t>
      </w:r>
      <w:bookmarkEnd w:id="0"/>
      <w:bookmarkEnd w:id="1"/>
      <w:r>
        <w:rPr>
          <w:rFonts w:eastAsia="方正小标宋简体"/>
          <w:sz w:val="36"/>
          <w:szCs w:val="36"/>
        </w:rPr>
        <w:t>》地方标准</w:t>
      </w:r>
    </w:p>
    <w:p>
      <w:pPr>
        <w:widowControl/>
        <w:spacing w:line="360" w:lineRule="atLeast"/>
        <w:jc w:val="center"/>
        <w:rPr>
          <w:rFonts w:eastAsia="方正小标宋简体"/>
          <w:sz w:val="36"/>
          <w:szCs w:val="36"/>
        </w:rPr>
      </w:pPr>
      <w:r>
        <w:rPr>
          <w:rFonts w:eastAsia="方正小标宋简体"/>
          <w:sz w:val="36"/>
          <w:szCs w:val="36"/>
        </w:rPr>
        <w:t>编制说明</w:t>
      </w:r>
    </w:p>
    <w:p>
      <w:pPr>
        <w:ind w:firstLine="640" w:firstLineChars="200"/>
        <w:rPr>
          <w:rFonts w:eastAsia="黑体"/>
          <w:sz w:val="28"/>
          <w:szCs w:val="28"/>
        </w:rPr>
      </w:pPr>
      <w:r>
        <w:rPr>
          <w:rFonts w:hAnsi="黑体" w:eastAsia="黑体"/>
          <w:sz w:val="32"/>
          <w:szCs w:val="32"/>
        </w:rPr>
        <w:t>一、工作简况</w:t>
      </w:r>
    </w:p>
    <w:p>
      <w:pPr>
        <w:ind w:firstLine="643" w:firstLineChars="200"/>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任务来源</w:t>
      </w:r>
    </w:p>
    <w:p>
      <w:pPr>
        <w:ind w:firstLine="640" w:firstLineChars="200"/>
        <w:rPr>
          <w:rFonts w:hint="eastAsia" w:ascii="仿宋_GB2312" w:hAnsi="仿宋_GB2312" w:eastAsia="仿宋_GB2312" w:cs="仿宋_GB2312"/>
          <w:bCs/>
          <w:kern w:val="36"/>
          <w:sz w:val="32"/>
          <w:szCs w:val="32"/>
          <w:lang w:val="en-US" w:eastAsia="zh-CN"/>
        </w:rPr>
      </w:pPr>
      <w:r>
        <w:rPr>
          <w:rFonts w:hint="eastAsia" w:ascii="仿宋_GB2312" w:hAnsi="仿宋_GB2312" w:eastAsia="仿宋_GB2312" w:cs="仿宋_GB2312"/>
          <w:sz w:val="32"/>
          <w:szCs w:val="32"/>
        </w:rPr>
        <w:t>经江西省农业技术推广中心</w:t>
      </w:r>
      <w:r>
        <w:rPr>
          <w:rFonts w:hint="eastAsia" w:ascii="仿宋_GB2312" w:hAnsi="仿宋_GB2312" w:eastAsia="仿宋_GB2312" w:cs="仿宋_GB2312"/>
          <w:bCs/>
          <w:sz w:val="32"/>
          <w:szCs w:val="32"/>
        </w:rPr>
        <w:t>申请提出，</w:t>
      </w:r>
      <w:r>
        <w:rPr>
          <w:rFonts w:ascii="仿宋_GB2312" w:hAnsi="仿宋_GB2312" w:eastAsia="仿宋_GB2312" w:cs="仿宋_GB2312"/>
          <w:bCs/>
          <w:sz w:val="32"/>
          <w:szCs w:val="32"/>
        </w:rPr>
        <w:t>2023</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8</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日</w:t>
      </w:r>
      <w:r>
        <w:rPr>
          <w:rFonts w:hint="eastAsia" w:ascii="仿宋_GB2312" w:hAnsi="仿宋_GB2312" w:eastAsia="仿宋_GB2312" w:cs="仿宋_GB2312"/>
          <w:sz w:val="32"/>
          <w:szCs w:val="32"/>
        </w:rPr>
        <w:t>江西省农业农村厅《关于报送</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批</w:t>
      </w:r>
      <w:r>
        <w:rPr>
          <w:rFonts w:hint="eastAsia" w:ascii="仿宋_GB2312" w:hAnsi="仿宋_GB2312" w:eastAsia="仿宋_GB2312" w:cs="仿宋_GB2312"/>
          <w:bCs/>
          <w:kern w:val="36"/>
          <w:sz w:val="32"/>
          <w:szCs w:val="32"/>
        </w:rPr>
        <w:t>江西省农业地方标准计划项目的</w:t>
      </w:r>
      <w:r>
        <w:rPr>
          <w:rFonts w:hint="eastAsia" w:ascii="仿宋_GB2312" w:hAnsi="仿宋_GB2312" w:eastAsia="仿宋_GB2312" w:cs="仿宋_GB2312"/>
          <w:bCs/>
          <w:kern w:val="36"/>
          <w:sz w:val="32"/>
          <w:szCs w:val="32"/>
          <w:lang w:val="en-US" w:eastAsia="zh-CN"/>
        </w:rPr>
        <w:t>函</w:t>
      </w:r>
      <w:r>
        <w:rPr>
          <w:rFonts w:hint="eastAsia" w:ascii="仿宋_GB2312" w:hAnsi="仿宋_GB2312" w:eastAsia="仿宋_GB2312" w:cs="仿宋_GB2312"/>
          <w:bCs/>
          <w:kern w:val="36"/>
          <w:sz w:val="32"/>
          <w:szCs w:val="32"/>
        </w:rPr>
        <w:t>》</w:t>
      </w:r>
      <w:r>
        <w:rPr>
          <w:rFonts w:hint="eastAsia" w:ascii="仿宋_GB2312" w:hAnsi="仿宋_GB2312" w:eastAsia="仿宋_GB2312" w:cs="仿宋_GB2312"/>
          <w:sz w:val="32"/>
          <w:szCs w:val="32"/>
        </w:rPr>
        <w:t>，向省市场监管局申报《瑞昌山药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rPr>
        <w:t>技术规程》地方标准的立项。</w:t>
      </w:r>
      <w:r>
        <w:rPr>
          <w:rFonts w:hint="eastAsia" w:ascii="仿宋_GB2312" w:hAnsi="仿宋_GB2312" w:eastAsia="仿宋_GB2312" w:cs="仿宋_GB2312"/>
          <w:bCs/>
          <w:sz w:val="32"/>
          <w:szCs w:val="32"/>
        </w:rPr>
        <w:t>经江西</w:t>
      </w:r>
      <w:r>
        <w:rPr>
          <w:rFonts w:hint="eastAsia" w:ascii="仿宋_GB2312" w:hAnsi="仿宋_GB2312" w:eastAsia="仿宋_GB2312" w:cs="仿宋_GB2312"/>
          <w:bCs/>
          <w:kern w:val="36"/>
          <w:sz w:val="32"/>
          <w:szCs w:val="32"/>
          <w:lang w:val="en-US" w:eastAsia="zh-CN"/>
        </w:rPr>
        <w:t>省市场监管局组织立项评审，下达《江西省市场监管局关于下达2024年第三批江西省地方标准制修订计划的通知》，批准立项制定《瑞昌山药</w:t>
      </w:r>
      <w:r>
        <w:rPr>
          <w:rFonts w:hint="default" w:ascii="仿宋_GB2312" w:hAnsi="仿宋_GB2312" w:eastAsia="仿宋_GB2312" w:cs="仿宋_GB2312"/>
          <w:bCs/>
          <w:kern w:val="36"/>
          <w:sz w:val="32"/>
          <w:szCs w:val="32"/>
          <w:lang w:val="en-US" w:eastAsia="zh-CN"/>
        </w:rPr>
        <w:t>生产</w:t>
      </w:r>
      <w:r>
        <w:rPr>
          <w:rFonts w:hint="eastAsia" w:ascii="仿宋_GB2312" w:hAnsi="仿宋_GB2312" w:eastAsia="仿宋_GB2312" w:cs="仿宋_GB2312"/>
          <w:bCs/>
          <w:kern w:val="36"/>
          <w:sz w:val="32"/>
          <w:szCs w:val="32"/>
          <w:lang w:val="en-US" w:eastAsia="zh-CN"/>
        </w:rPr>
        <w:t>技术规程》地方标准，计划编号DB36</w:t>
      </w:r>
      <w:bookmarkStart w:id="2" w:name="StdNo1"/>
      <w:r>
        <w:rPr>
          <w:rFonts w:hint="eastAsia" w:ascii="仿宋_GB2312" w:hAnsi="仿宋_GB2312" w:eastAsia="仿宋_GB2312" w:cs="仿宋_GB2312"/>
          <w:bCs/>
          <w:kern w:val="36"/>
          <w:sz w:val="32"/>
          <w:szCs w:val="32"/>
          <w:lang w:val="en-US" w:eastAsia="zh-CN"/>
        </w:rPr>
        <w:t>-2024</w:t>
      </w:r>
      <w:bookmarkEnd w:id="2"/>
      <w:r>
        <w:rPr>
          <w:rFonts w:hint="eastAsia" w:ascii="仿宋_GB2312" w:hAnsi="仿宋_GB2312" w:eastAsia="仿宋_GB2312" w:cs="仿宋_GB2312"/>
          <w:bCs/>
          <w:kern w:val="36"/>
          <w:sz w:val="32"/>
          <w:szCs w:val="32"/>
          <w:lang w:val="en-US" w:eastAsia="zh-CN"/>
        </w:rPr>
        <w:t>-3-18，该标准由瑞昌市绿源山药产业开发中心牵头起草。</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rPr>
        <w:t>起草单位</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瑞昌市绿源山药产业开发中心、江西省农业大学、九江市农业科学院、九江市新晴野农业有限公司、瑞昌市山药产业协会、瑞昌市市场监督管理局、江西赣瑞农产品有限公司</w:t>
      </w:r>
      <w:r>
        <w:rPr>
          <w:rFonts w:hint="eastAsia" w:ascii="仿宋_GB2312" w:hAnsi="仿宋_GB2312" w:eastAsia="仿宋_GB2312" w:cs="仿宋_GB2312"/>
          <w:sz w:val="32"/>
          <w:szCs w:val="32"/>
          <w:lang w:eastAsia="zh-CN"/>
        </w:rPr>
        <w:t>。</w:t>
      </w:r>
    </w:p>
    <w:p>
      <w:p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3.主要起草人(以表格形式将内容明确)</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1125"/>
        <w:gridCol w:w="2251"/>
        <w:gridCol w:w="2639"/>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姓名</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性别</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职务/职称</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工作单位</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周庆友</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基层高级农艺师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瑞昌绿源山药产业开发中心</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组织编写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周庆红</w:t>
            </w:r>
          </w:p>
        </w:tc>
        <w:tc>
          <w:tcPr>
            <w:tcW w:w="660" w:type="pct"/>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女</w:t>
            </w:r>
          </w:p>
        </w:tc>
        <w:tc>
          <w:tcPr>
            <w:tcW w:w="1320" w:type="pct"/>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教授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Ansi="仿宋" w:eastAsia="仿宋"/>
                <w:sz w:val="28"/>
                <w:szCs w:val="28"/>
              </w:rPr>
              <w:t>标准制定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单楠</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女</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rPr>
              <w:t>副教授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jc w:val="center"/>
              <w:rPr>
                <w:rFonts w:eastAsia="仿宋"/>
                <w:sz w:val="28"/>
                <w:szCs w:val="28"/>
              </w:rPr>
            </w:pPr>
            <w:r>
              <w:rPr>
                <w:rFonts w:hAnsi="仿宋" w:eastAsia="仿宋"/>
                <w:sz w:val="28"/>
                <w:szCs w:val="28"/>
              </w:rPr>
              <w:t>标准制定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谢国强</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研究员</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九江农业科学院</w:t>
            </w:r>
          </w:p>
        </w:tc>
        <w:tc>
          <w:tcPr>
            <w:tcW w:w="819" w:type="pct"/>
            <w:vAlign w:val="center"/>
          </w:tcPr>
          <w:p>
            <w:pPr>
              <w:jc w:val="center"/>
              <w:rPr>
                <w:rFonts w:eastAsia="仿宋"/>
                <w:sz w:val="28"/>
                <w:szCs w:val="28"/>
              </w:rPr>
            </w:pPr>
            <w:r>
              <w:rPr>
                <w:rFonts w:hAnsi="仿宋" w:eastAsia="仿宋"/>
                <w:sz w:val="28"/>
                <w:szCs w:val="28"/>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谈太安</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瑞昌绿源山药产业开发中心</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肖遥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讲师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罗莎</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女</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rPr>
              <w:t>副教授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陈国徽</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九江农业科学院</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孙静宇</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讲师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沈少华</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高级农艺师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九江农业科学院</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汪生林</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讲师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朱强龙</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rPr>
              <w:t>副教授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江西农业大学</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余国庆</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基层高级农艺师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瑞昌绿源山药产业开发中心</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柯子文</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hAnsi="仿宋" w:eastAsia="仿宋"/>
                <w:sz w:val="28"/>
                <w:szCs w:val="28"/>
                <w:lang w:val="en-US" w:eastAsia="zh-CN"/>
              </w:rPr>
            </w:pPr>
            <w:r>
              <w:rPr>
                <w:rFonts w:hint="eastAsia" w:hAnsi="仿宋" w:eastAsia="仿宋"/>
                <w:sz w:val="28"/>
                <w:szCs w:val="28"/>
                <w:lang w:val="en-US" w:eastAsia="zh-CN"/>
              </w:rPr>
              <w:t>-</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瑞昌市场监督管理局</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刘明年</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女</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hAnsi="仿宋" w:eastAsia="仿宋"/>
                <w:sz w:val="28"/>
                <w:szCs w:val="28"/>
                <w:lang w:val="en-US" w:eastAsia="zh-CN"/>
              </w:rPr>
            </w:pPr>
            <w:r>
              <w:rPr>
                <w:rFonts w:hint="eastAsia" w:ascii="仿宋_GB2312" w:eastAsia="仿宋_GB2312"/>
                <w:sz w:val="32"/>
                <w:szCs w:val="32"/>
              </w:rPr>
              <w:t>工程师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瑞昌市场监督管理局</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周庆幈</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高级农艺师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九江农业科学院</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刘诗磊</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瑞昌山药产业协会</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幸昌伟</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hAnsi="仿宋" w:eastAsia="仿宋"/>
                <w:sz w:val="28"/>
                <w:szCs w:val="28"/>
                <w:lang w:val="en-US" w:eastAsia="zh-CN"/>
              </w:rPr>
            </w:pPr>
            <w:r>
              <w:rPr>
                <w:rFonts w:hint="eastAsia" w:hAnsi="仿宋" w:eastAsia="仿宋"/>
                <w:sz w:val="28"/>
                <w:szCs w:val="28"/>
                <w:lang w:val="en-US" w:eastAsia="zh-CN"/>
              </w:rPr>
              <w:t>助理农艺师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瑞昌绿源山药产业开发中心</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陈佳宇</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ascii="仿宋_GB2312" w:eastAsia="仿宋_GB2312"/>
                <w:sz w:val="32"/>
                <w:szCs w:val="32"/>
              </w:rPr>
              <w:t>工程师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瑞昌市绿源山药产业开发中心</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rPr>
              <w:t>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曹海军</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hAnsi="仿宋" w:eastAsia="仿宋"/>
                <w:sz w:val="28"/>
                <w:szCs w:val="28"/>
                <w:lang w:val="en-US" w:eastAsia="zh-CN"/>
              </w:rPr>
            </w:pPr>
            <w:r>
              <w:rPr>
                <w:rFonts w:hint="eastAsia" w:hAnsi="仿宋" w:eastAsia="仿宋"/>
                <w:sz w:val="28"/>
                <w:szCs w:val="28"/>
                <w:lang w:val="en-US" w:eastAsia="zh-CN"/>
              </w:rPr>
              <w:t>-</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九江新晴野农业有限公司</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何亚忠</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hAnsi="仿宋" w:eastAsia="仿宋"/>
                <w:sz w:val="28"/>
                <w:szCs w:val="28"/>
                <w:lang w:val="en-US" w:eastAsia="zh-CN"/>
              </w:rPr>
            </w:pPr>
            <w:r>
              <w:rPr>
                <w:rFonts w:hint="eastAsia" w:hAnsi="仿宋" w:eastAsia="仿宋"/>
                <w:sz w:val="28"/>
                <w:szCs w:val="28"/>
                <w:lang w:val="en-US" w:eastAsia="zh-CN"/>
              </w:rPr>
              <w:t>-</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江西赣瑞农产品有限公司</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魏广伟</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男</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助理农艺师</w:t>
            </w:r>
          </w:p>
        </w:tc>
        <w:tc>
          <w:tcPr>
            <w:tcW w:w="1548"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仿宋" w:eastAsia="仿宋"/>
                <w:sz w:val="28"/>
                <w:szCs w:val="28"/>
                <w:lang w:val="en-US" w:eastAsia="zh-CN"/>
              </w:rPr>
            </w:pPr>
            <w:r>
              <w:rPr>
                <w:rFonts w:hint="eastAsia" w:hAnsi="仿宋" w:eastAsia="仿宋"/>
                <w:sz w:val="28"/>
                <w:szCs w:val="28"/>
                <w:lang w:val="en-US" w:eastAsia="zh-CN"/>
              </w:rPr>
              <w:t>瑞昌绿源山药产业开发中心</w:t>
            </w:r>
          </w:p>
        </w:tc>
        <w:tc>
          <w:tcPr>
            <w:tcW w:w="81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仿宋" w:eastAsia="仿宋"/>
                <w:sz w:val="28"/>
                <w:szCs w:val="28"/>
                <w:lang w:val="en-US" w:eastAsia="zh-CN"/>
              </w:rPr>
            </w:pPr>
            <w:r>
              <w:rPr>
                <w:rFonts w:hAnsi="仿宋" w:eastAsia="仿宋"/>
                <w:sz w:val="28"/>
                <w:szCs w:val="28"/>
              </w:rPr>
              <w:t>标准制定</w:t>
            </w:r>
          </w:p>
        </w:tc>
      </w:tr>
    </w:tbl>
    <w:p>
      <w:pPr>
        <w:ind w:firstLine="640" w:firstLineChars="200"/>
        <w:rPr>
          <w:rFonts w:eastAsia="黑体"/>
          <w:sz w:val="32"/>
          <w:szCs w:val="32"/>
        </w:rPr>
      </w:pPr>
      <w:r>
        <w:rPr>
          <w:rFonts w:hAnsi="黑体" w:eastAsia="黑体"/>
          <w:sz w:val="32"/>
          <w:szCs w:val="32"/>
        </w:rPr>
        <w:t>二、制定（修订）标准的必要性和意义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瑞昌山药是江西省九江市瑞昌市特产，已有500多年的种植历史，</w:t>
      </w:r>
      <w:r>
        <w:rPr>
          <w:rFonts w:hint="eastAsia" w:ascii="仿宋_GB2312" w:hAnsi="仿宋_GB2312" w:eastAsia="仿宋_GB2312" w:cs="仿宋_GB2312"/>
          <w:sz w:val="32"/>
          <w:szCs w:val="32"/>
          <w:lang w:val="en-US" w:eastAsia="zh-CN"/>
        </w:rPr>
        <w:t>2010年被农业部授予“国家地理标志产品”，</w:t>
      </w:r>
      <w:r>
        <w:rPr>
          <w:rFonts w:hint="eastAsia" w:ascii="仿宋_GB2312" w:hAnsi="仿宋_GB2312" w:eastAsia="仿宋_GB2312" w:cs="仿宋_GB2312"/>
          <w:sz w:val="32"/>
          <w:szCs w:val="32"/>
        </w:rPr>
        <w:t>是一种药、菜、粮兼用的高效经济作物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其块茎具有“茎肉润白、组织细密、质糯清香、久煮不糊”的显著特征，深受消费者喜爱</w:t>
      </w:r>
      <w:r>
        <w:rPr>
          <w:rFonts w:hint="eastAsia" w:ascii="仿宋_GB2312" w:hAnsi="仿宋_GB2312" w:eastAsia="仿宋_GB2312" w:cs="仿宋_GB2312"/>
          <w:sz w:val="32"/>
          <w:szCs w:val="32"/>
          <w:lang w:eastAsia="zh-CN"/>
        </w:rPr>
        <w:t>。</w:t>
      </w:r>
    </w:p>
    <w:p>
      <w:pPr>
        <w:spacing w:line="360" w:lineRule="auto"/>
        <w:ind w:firstLine="640" w:firstLineChars="200"/>
        <w:rPr>
          <w:rFonts w:hint="eastAsia" w:ascii="仿宋" w:hAnsi="仿宋" w:eastAsia="仿宋"/>
          <w:bCs/>
          <w:sz w:val="32"/>
          <w:szCs w:val="32"/>
        </w:rPr>
      </w:pPr>
      <w:r>
        <w:rPr>
          <w:rFonts w:hint="eastAsia" w:ascii="仿宋_GB2312" w:hAnsi="仿宋_GB2312" w:eastAsia="仿宋_GB2312" w:cs="仿宋_GB2312"/>
          <w:sz w:val="32"/>
          <w:szCs w:val="32"/>
          <w:lang w:eastAsia="zh-CN"/>
        </w:rPr>
        <w:t>瑞昌山药</w:t>
      </w:r>
      <w:r>
        <w:rPr>
          <w:rFonts w:hint="eastAsia" w:ascii="仿宋_GB2312" w:hAnsi="仿宋_GB2312" w:eastAsia="仿宋_GB2312" w:cs="仿宋_GB2312"/>
          <w:sz w:val="32"/>
          <w:szCs w:val="32"/>
          <w:lang w:val="en-US" w:eastAsia="zh-CN"/>
        </w:rPr>
        <w:t>的种植</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lang w:val="en-US" w:eastAsia="zh-CN"/>
        </w:rPr>
        <w:t>十分</w:t>
      </w:r>
      <w:r>
        <w:rPr>
          <w:rFonts w:hint="eastAsia" w:ascii="仿宋_GB2312" w:hAnsi="仿宋_GB2312" w:eastAsia="仿宋_GB2312" w:cs="仿宋_GB2312"/>
          <w:sz w:val="32"/>
          <w:szCs w:val="32"/>
        </w:rPr>
        <w:t>显著，</w:t>
      </w:r>
      <w:r>
        <w:rPr>
          <w:rFonts w:hint="eastAsia" w:ascii="仿宋_GB2312" w:hAnsi="仿宋_GB2312" w:eastAsia="仿宋_GB2312" w:cs="仿宋_GB2312"/>
          <w:sz w:val="32"/>
          <w:szCs w:val="32"/>
          <w:lang w:val="en-US" w:eastAsia="zh-CN"/>
        </w:rPr>
        <w:t>亩投入1万元，纯收入可达1万元以上，是典型的致富奔小康的“短、平、快”项目。近几年，在高效益的驱使下，很多农户盲目扩大种植面积，由于传统的栽培方式在选种留种、搭架、灌溉、施肥、除草等方面存在诸多弊端，投入高，劳动强度大，易发生灾情（以旱灾为主），产量低、产量不稳定，块茎畸形率高、商品率低，种植风险极大，种植收益不稳定等问题不断出现，大量农户出现了亏损返贫现象，严重限制了瑞昌山药产业高质量发展。因此，如何提高山药商品率，提升产量，确保产量，降低种植风险已成为瑞昌山药生产中亟待解决的重要课题。</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在瑞昌市绿源山药产业开发中心、江西省农业大学、九江市农业科学院等单位的共同努力下，通过数年持续试验总结，研发集成了线虫病害防控、定向塑形、水肥一体节水减肥技术、立架拉网密植等关键栽培技术，形成了《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en-US" w:eastAsia="zh-CN"/>
        </w:rPr>
        <w:t>技术规程》，并进行了示范与推广。该技术提质增产效果显著，两年示范平均亩产2603.85kg，平均商品率86.3%，相较传统种植模式平均亩增产1298.4kg，平均商品率提高23.35%。因此，《瑞昌山药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en-US" w:eastAsia="zh-CN"/>
        </w:rPr>
        <w:t>技术规程》的制定对瑞昌山药提质增产，保障农民稳产稳收具有重要作用和意义。目前，国内外还没有关于“瑞昌山药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en-US" w:eastAsia="zh-CN"/>
        </w:rPr>
        <w:t>技术”的国家标准、行业标准及地方标准。</w:t>
      </w:r>
    </w:p>
    <w:p>
      <w:pPr>
        <w:ind w:firstLine="640" w:firstLineChars="200"/>
        <w:rPr>
          <w:rFonts w:eastAsia="黑体"/>
          <w:sz w:val="32"/>
          <w:szCs w:val="32"/>
        </w:rPr>
      </w:pPr>
      <w:r>
        <w:rPr>
          <w:rFonts w:hAnsi="黑体" w:eastAsia="黑体"/>
          <w:sz w:val="32"/>
          <w:szCs w:val="32"/>
        </w:rPr>
        <w:t>三、主要起草过程</w:t>
      </w:r>
    </w:p>
    <w:p>
      <w:p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1.前期研究与示范</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着农技培训、参观交流和江西农业大学、九江农科院技术指导的增多，瑞昌市山药种植户、家庭农场及合作社越来越愿意尝试新技术、新方法，并且积极对其他技术与方法进行改进，从而筛选出并形成了一批针对瑞昌山药选种留种、搭架、灌溉、施肥、除草等多个方面实用、成熟的栽培技术，如定向塑形、水肥一体节水减肥技术、立架拉网密植等。为本标准的制定积累了大量的第一手资料。</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瑞昌绿源山药产业开发中心、江西农业大学，九江农科院将这些技术进行梳理、总结，在薯芋良种联合攻关项目和蔬菜重大技术协同推广项目的支持下，我们联合瑞昌山药产业协会、九江市新晴野农业有限公司、江西赣瑞农产品有限公司持续开展了生产试验总结和示范推广验证，验证了该栽培技术的操作性、适应性。</w:t>
      </w:r>
    </w:p>
    <w:p>
      <w:pPr>
        <w:ind w:firstLine="643" w:firstLineChars="200"/>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2.成立标准编写小组</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成立《瑞昌山药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en-US" w:eastAsia="zh-CN"/>
        </w:rPr>
        <w:t>技术规程》标准（编写小组），由周庆友为组长，周庆红、单楠、谢国强、谈太安、肖遥、罗莎、陈国徽、孙静宇、沈少华、汪生林、朱强龙、余国庆、柯子文、刘明年、周庆幈、刘诗磊、幸昌伟、陈佳宇、曹海军、何亚忠、魏广伟等为组员，共同编制该技术规程。</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en-US" w:eastAsia="zh-CN"/>
        </w:rPr>
        <w:t>的相关情况进行详细了解，制定标准研制的总体思路和框架，对标准的起草及现场调研工作做出详细部署，在此基础上编写标准草稿。</w:t>
      </w:r>
    </w:p>
    <w:p>
      <w:pPr>
        <w:ind w:firstLine="640" w:firstLineChars="200"/>
        <w:rPr>
          <w:rFonts w:eastAsia="黑体"/>
          <w:sz w:val="32"/>
          <w:szCs w:val="32"/>
        </w:rPr>
      </w:pPr>
      <w:r>
        <w:rPr>
          <w:rFonts w:hAnsi="黑体" w:eastAsia="黑体"/>
          <w:sz w:val="32"/>
          <w:szCs w:val="32"/>
        </w:rPr>
        <w:t>四、制定（修订）标准的原则和依据，与现行法律、法规、标准的关系</w:t>
      </w:r>
    </w:p>
    <w:p>
      <w:pPr>
        <w:ind w:firstLine="643" w:firstLineChars="200"/>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1.制定（修订）标准的原则</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本标准遵循“针对性、先进性、实用性、统一性、规范性”的原则，尽可能与国内外领先标准接轨，注重了标准的可操作性，严格按GB/T 1.1-2020的最新版本的要求进行编写。</w:t>
      </w:r>
    </w:p>
    <w:p>
      <w:pPr>
        <w:pStyle w:val="11"/>
        <w:spacing w:line="240" w:lineRule="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2.制定标准主要内容依据</w:t>
      </w:r>
    </w:p>
    <w:p>
      <w:pPr>
        <w:pStyle w:val="11"/>
        <w:spacing w:line="240" w:lineRule="auto"/>
        <w:rPr>
          <w:rFonts w:ascii="宋体"/>
          <w:kern w:val="0"/>
          <w:szCs w:val="20"/>
        </w:rPr>
      </w:pPr>
      <w:r>
        <w:rPr>
          <w:rFonts w:hAnsi="仿宋" w:eastAsia="仿宋"/>
          <w:sz w:val="28"/>
          <w:szCs w:val="28"/>
        </w:rPr>
        <w:t>本</w:t>
      </w:r>
      <w:r>
        <w:rPr>
          <w:rFonts w:hint="eastAsia" w:ascii="仿宋_GB2312" w:hAnsi="仿宋_GB2312" w:eastAsia="仿宋_GB2312" w:cs="仿宋_GB2312"/>
          <w:kern w:val="2"/>
          <w:sz w:val="32"/>
          <w:szCs w:val="32"/>
          <w:lang w:val="en-US" w:eastAsia="zh-CN" w:bidi="ar-SA"/>
        </w:rPr>
        <w:t>标准编写过程中根据需要引用了GB/T 4806.7 食品安全国家标准 食品接触用塑料材料及制品、GB/T 5737 食品塑料周转箱、GB/T 8321（所有部分） 农药合理使用准则、NY/T 848 蔬菜产地环境技术条件、NY/T 1065 山药等级规格、NY/T 3569 山药、芋头储藏保险技术规程、SN/T 0263 出口商品运输包装聚苯乙烯泡沫箱检验规程、DB36/T 1228 山药主要病虫害综合防治技术规程、DB36/T 1128.8 农药 田间药效试验准则 第8部分 杀菌剂防治山药炭疽病、DB37/T 3739 山药冷藏保鲜技术规范</w:t>
      </w:r>
      <w:r>
        <w:rPr>
          <w:rFonts w:hint="eastAsia" w:hAnsi="仿宋" w:eastAsia="仿宋"/>
          <w:sz w:val="28"/>
          <w:szCs w:val="28"/>
        </w:rPr>
        <w:t>。</w:t>
      </w:r>
      <w:r>
        <w:rPr>
          <w:rFonts w:ascii="宋体"/>
          <w:kern w:val="0"/>
          <w:szCs w:val="20"/>
        </w:rPr>
        <w:t xml:space="preserve"> </w:t>
      </w:r>
    </w:p>
    <w:p>
      <w:pPr>
        <w:spacing w:line="560" w:lineRule="exact"/>
        <w:ind w:firstLine="643" w:firstLineChars="200"/>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3.与现行法律、法规、标准的关系</w:t>
      </w:r>
    </w:p>
    <w:p>
      <w:pPr>
        <w:spacing w:line="56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经广泛调研和多方面征求意见建议，本标准有关技术要求、技术方法、性能指标等等符合现行法律、法规、规章及有关强制性标准要求并具有一致性。</w:t>
      </w:r>
    </w:p>
    <w:p>
      <w:pPr>
        <w:pStyle w:val="11"/>
        <w:ind w:firstLine="640"/>
        <w:rPr>
          <w:rFonts w:hAnsi="黑体" w:eastAsia="黑体"/>
          <w:color w:val="000000"/>
          <w:sz w:val="32"/>
          <w:szCs w:val="32"/>
        </w:rPr>
      </w:pPr>
      <w:r>
        <w:rPr>
          <w:rFonts w:hAnsi="黑体" w:eastAsia="黑体"/>
          <w:color w:val="000000"/>
          <w:sz w:val="32"/>
          <w:szCs w:val="32"/>
        </w:rPr>
        <w:t xml:space="preserve">五、主要条款的说明 </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1</w:t>
      </w: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bCs/>
          <w:sz w:val="32"/>
          <w:szCs w:val="32"/>
        </w:rPr>
        <w:t>范围</w:t>
      </w:r>
    </w:p>
    <w:p>
      <w:pPr>
        <w:pStyle w:val="11"/>
        <w:spacing w:line="240" w:lineRule="auto"/>
        <w:rPr>
          <w:rFonts w:hint="eastAsia" w:ascii="仿宋_GB2312" w:hAnsi="仿宋_GB2312" w:eastAsia="仿宋_GB2312" w:cs="仿宋_GB2312"/>
          <w:kern w:val="2"/>
          <w:sz w:val="32"/>
          <w:szCs w:val="32"/>
          <w:lang w:val="en-US" w:eastAsia="zh-CN" w:bidi="ar-SA"/>
        </w:rPr>
      </w:pPr>
      <w:bookmarkStart w:id="3" w:name="_Toc381716999"/>
      <w:bookmarkStart w:id="4" w:name="_Toc381805655"/>
      <w:r>
        <w:rPr>
          <w:rFonts w:hint="eastAsia" w:ascii="仿宋_GB2312" w:hAnsi="仿宋_GB2312" w:eastAsia="仿宋_GB2312" w:cs="仿宋_GB2312"/>
          <w:kern w:val="2"/>
          <w:sz w:val="32"/>
          <w:szCs w:val="32"/>
          <w:lang w:val="en-US" w:eastAsia="zh-CN" w:bidi="ar-SA"/>
        </w:rPr>
        <w:t>本标准规定了瑞昌山药生产技术的术语和定义、产地环境、播前准备、播种、田间管理、植物生长调控、病虫害防控、采收、分级与贮藏。</w:t>
      </w:r>
    </w:p>
    <w:p>
      <w:pPr>
        <w:pStyle w:val="11"/>
        <w:spacing w:line="240" w:lineRule="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本标准适用于江西区域内瑞昌山药的生产。</w:t>
      </w:r>
    </w:p>
    <w:bookmarkEnd w:id="3"/>
    <w:bookmarkEnd w:id="4"/>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2</w:t>
      </w: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bCs/>
          <w:sz w:val="32"/>
          <w:szCs w:val="32"/>
        </w:rPr>
        <w:t>术语</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本标准规定了以下术语：</w:t>
      </w:r>
    </w:p>
    <w:p>
      <w:pPr>
        <w:pStyle w:val="18"/>
        <w:spacing w:before="0" w:beforeLines="0" w:after="0" w:afterLines="0" w:line="240" w:lineRule="auto"/>
        <w:ind w:firstLine="640" w:firstLineChars="200"/>
        <w:outlineLvl w:val="9"/>
        <w:rPr>
          <w:rFonts w:hint="eastAsia" w:ascii="仿宋_GB2312" w:hAnsi="仿宋_GB2312" w:eastAsia="仿宋_GB2312" w:cs="仿宋_GB2312"/>
          <w:kern w:val="2"/>
          <w:sz w:val="32"/>
          <w:szCs w:val="32"/>
          <w:lang w:val="en-US" w:eastAsia="zh-CN" w:bidi="ar-SA"/>
        </w:rPr>
      </w:pPr>
      <w:bookmarkStart w:id="5" w:name="_Toc156824777"/>
      <w:bookmarkStart w:id="6" w:name="_Toc156825564"/>
      <w:bookmarkStart w:id="7" w:name="_Toc156824699"/>
      <w:bookmarkStart w:id="8" w:name="_Toc156824629"/>
      <w:bookmarkStart w:id="9" w:name="_Toc156825597"/>
      <w:bookmarkStart w:id="10" w:name="_Toc156824745"/>
      <w:bookmarkStart w:id="11" w:name="_Toc156825534"/>
      <w:bookmarkStart w:id="12" w:name="_Toc156825496"/>
      <w:r>
        <w:rPr>
          <w:rFonts w:hint="eastAsia" w:ascii="仿宋_GB2312" w:hAnsi="仿宋_GB2312" w:eastAsia="仿宋_GB2312" w:cs="仿宋_GB2312"/>
          <w:kern w:val="2"/>
          <w:sz w:val="32"/>
          <w:szCs w:val="32"/>
          <w:lang w:val="en-US" w:eastAsia="zh-CN" w:bidi="ar-SA"/>
        </w:rPr>
        <w:t>2.1</w:t>
      </w:r>
      <w:bookmarkEnd w:id="5"/>
      <w:bookmarkEnd w:id="6"/>
      <w:bookmarkEnd w:id="7"/>
      <w:bookmarkEnd w:id="8"/>
      <w:bookmarkEnd w:id="9"/>
      <w:bookmarkEnd w:id="10"/>
      <w:bookmarkEnd w:id="11"/>
      <w:bookmarkEnd w:id="12"/>
      <w:r>
        <w:rPr>
          <w:rFonts w:hint="eastAsia" w:ascii="仿宋_GB2312" w:hAnsi="仿宋_GB2312" w:eastAsia="仿宋_GB2312" w:cs="仿宋_GB2312"/>
          <w:kern w:val="2"/>
          <w:sz w:val="32"/>
          <w:szCs w:val="32"/>
          <w:lang w:val="en-US" w:eastAsia="zh-CN" w:bidi="ar-SA"/>
        </w:rPr>
        <w:t xml:space="preserve"> 零余子 </w:t>
      </w:r>
      <w:r>
        <w:rPr>
          <w:rFonts w:hint="default" w:ascii="Times New Roman" w:hAnsi="Times New Roman" w:eastAsia="仿宋_GB2312" w:cs="Times New Roman"/>
          <w:kern w:val="2"/>
          <w:sz w:val="32"/>
          <w:szCs w:val="32"/>
          <w:lang w:val="en-US" w:eastAsia="zh-CN" w:bidi="ar-SA"/>
        </w:rPr>
        <w:t>bulbil</w:t>
      </w:r>
      <w:r>
        <w:rPr>
          <w:rFonts w:hint="eastAsia" w:ascii="仿宋_GB2312" w:hAnsi="仿宋_GB2312" w:eastAsia="仿宋_GB2312" w:cs="仿宋_GB2312"/>
          <w:kern w:val="2"/>
          <w:sz w:val="32"/>
          <w:szCs w:val="32"/>
          <w:lang w:val="en-US" w:eastAsia="zh-CN" w:bidi="ar-SA"/>
        </w:rPr>
        <w:t>：又称山药豆、山药蛋，指山药茎蔓叶腋间着生的气生块茎，椭圆形或卵圆形。可用其繁殖种薯，实现品种的提纯复壮。</w:t>
      </w:r>
    </w:p>
    <w:p>
      <w:pPr>
        <w:tabs>
          <w:tab w:val="left" w:pos="426"/>
        </w:tabs>
        <w:ind w:firstLine="640" w:firstLineChars="200"/>
        <w:rPr>
          <w:rFonts w:hint="eastAsia" w:ascii="仿宋_GB2312" w:hAnsi="仿宋_GB2312" w:eastAsia="仿宋_GB2312" w:cs="仿宋_GB2312"/>
          <w:kern w:val="2"/>
          <w:sz w:val="32"/>
          <w:szCs w:val="32"/>
          <w:lang w:val="en-US" w:eastAsia="zh-CN" w:bidi="ar-SA"/>
        </w:rPr>
      </w:pPr>
      <w:bookmarkStart w:id="13" w:name="_Toc156547304"/>
      <w:bookmarkStart w:id="14" w:name="_Toc156825535"/>
      <w:bookmarkStart w:id="15" w:name="_Toc156547867"/>
      <w:bookmarkStart w:id="16" w:name="_Toc156825497"/>
      <w:bookmarkStart w:id="17" w:name="_Toc156824700"/>
      <w:bookmarkStart w:id="18" w:name="_Toc83299869"/>
      <w:bookmarkStart w:id="19" w:name="_Toc156824747"/>
      <w:bookmarkStart w:id="20" w:name="_Toc156825598"/>
      <w:bookmarkStart w:id="21" w:name="_Toc156824630"/>
      <w:bookmarkStart w:id="22" w:name="_Toc156824778"/>
      <w:bookmarkStart w:id="23" w:name="_Toc156825566"/>
      <w:r>
        <w:rPr>
          <w:rFonts w:hint="eastAsia" w:ascii="仿宋_GB2312" w:hAnsi="仿宋_GB2312" w:eastAsia="仿宋_GB2312" w:cs="仿宋_GB2312"/>
          <w:kern w:val="2"/>
          <w:sz w:val="32"/>
          <w:szCs w:val="32"/>
          <w:lang w:val="en-US" w:eastAsia="zh-CN" w:bidi="ar-SA"/>
        </w:rPr>
        <w:t>2.2</w:t>
      </w:r>
      <w:bookmarkEnd w:id="13"/>
      <w:bookmarkEnd w:id="14"/>
      <w:bookmarkEnd w:id="15"/>
      <w:bookmarkEnd w:id="16"/>
      <w:bookmarkEnd w:id="17"/>
      <w:bookmarkEnd w:id="18"/>
      <w:bookmarkEnd w:id="19"/>
      <w:bookmarkEnd w:id="20"/>
      <w:bookmarkEnd w:id="21"/>
      <w:bookmarkEnd w:id="22"/>
      <w:bookmarkEnd w:id="23"/>
      <w:r>
        <w:rPr>
          <w:rFonts w:hint="eastAsia" w:ascii="仿宋_GB2312" w:hAnsi="仿宋_GB2312" w:eastAsia="仿宋_GB2312" w:cs="仿宋_GB2312"/>
          <w:kern w:val="2"/>
          <w:sz w:val="32"/>
          <w:szCs w:val="32"/>
          <w:lang w:val="en-US" w:eastAsia="zh-CN" w:bidi="ar-SA"/>
        </w:rPr>
        <w:t xml:space="preserve"> 甩条发棵期 </w:t>
      </w:r>
      <w:r>
        <w:rPr>
          <w:rFonts w:hint="eastAsia" w:ascii="Times New Roman" w:hAnsi="Times New Roman" w:eastAsia="仿宋_GB2312" w:cs="Times New Roman"/>
          <w:kern w:val="2"/>
          <w:sz w:val="32"/>
          <w:szCs w:val="32"/>
          <w:lang w:val="en-US" w:eastAsia="zh-CN" w:bidi="ar-SA"/>
        </w:rPr>
        <w:t>rapid growth period of vine</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sz w:val="32"/>
          <w:szCs w:val="32"/>
        </w:rPr>
        <w:t>从出苗到现蕾，并开始发生气生块茎为止。</w:t>
      </w:r>
    </w:p>
    <w:p>
      <w:pPr>
        <w:pStyle w:val="18"/>
        <w:spacing w:before="156" w:beforeLines="50" w:after="156" w:afterLines="50" w:line="240" w:lineRule="auto"/>
        <w:ind w:firstLine="640" w:firstLineChars="200"/>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2.3 </w:t>
      </w:r>
      <w:r>
        <w:rPr>
          <w:rFonts w:hint="eastAsia" w:ascii="仿宋_GB2312" w:hAnsi="仿宋_GB2312" w:eastAsia="仿宋_GB2312" w:cs="仿宋_GB2312"/>
          <w:kern w:val="2"/>
          <w:sz w:val="32"/>
          <w:szCs w:val="32"/>
        </w:rPr>
        <w:t>块</w:t>
      </w:r>
      <w:r>
        <w:rPr>
          <w:rFonts w:hint="eastAsia" w:ascii="仿宋_GB2312" w:hAnsi="仿宋_GB2312" w:eastAsia="仿宋_GB2312" w:cs="仿宋_GB2312"/>
          <w:kern w:val="2"/>
          <w:sz w:val="32"/>
          <w:szCs w:val="32"/>
          <w:lang w:val="en-US" w:eastAsia="zh-CN" w:bidi="ar-SA"/>
        </w:rPr>
        <w:t xml:space="preserve">茎膨大期 </w:t>
      </w:r>
      <w:r>
        <w:rPr>
          <w:rFonts w:hint="eastAsia" w:ascii="Times New Roman" w:hAnsi="Times New Roman" w:eastAsia="仿宋_GB2312" w:cs="Times New Roman"/>
          <w:kern w:val="2"/>
          <w:sz w:val="32"/>
          <w:szCs w:val="32"/>
          <w:lang w:val="en-US" w:eastAsia="zh-CN" w:bidi="ar-SA"/>
        </w:rPr>
        <w:t>rapid growth period of tubers</w:t>
      </w:r>
      <w:r>
        <w:rPr>
          <w:rFonts w:hint="eastAsia" w:ascii="仿宋_GB2312" w:hAnsi="仿宋_GB2312" w:eastAsia="仿宋_GB2312" w:cs="仿宋_GB2312"/>
          <w:kern w:val="2"/>
          <w:sz w:val="32"/>
          <w:szCs w:val="32"/>
          <w:lang w:val="en-US" w:eastAsia="zh-CN" w:bidi="ar-SA"/>
        </w:rPr>
        <w:t>：从现蕾到块茎充分膨大，地上部叶片开始转黄为止。</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3</w:t>
      </w: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bCs/>
          <w:sz w:val="32"/>
          <w:szCs w:val="32"/>
        </w:rPr>
        <w:t>关键技术创新点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（1）对瑞昌山药生产的种薯选用进行了明确规范。要求选取上一年用零余子繁育的块茎作种薯。</w:t>
      </w:r>
    </w:p>
    <w:p>
      <w:pPr>
        <w:pStyle w:val="11"/>
        <w:spacing w:line="240" w:lineRule="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（2）一肥两用。播种期种植洞中施有机肥、生物菌肥（含淡紫拟青霉、芽孢杆菌、哈茨木霉菌）、中微量元素肥，促出壮苗，防控线虫。</w:t>
      </w:r>
    </w:p>
    <w:p>
      <w:pPr>
        <w:ind w:firstLine="640" w:firstLineChars="200"/>
        <w:rPr>
          <w:rFonts w:hint="default" w:ascii="仿宋_GB2312" w:hAnsi="仿宋_GB2312" w:eastAsia="宋体"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（3）施肥时期精确选准。为达到前期促发棵长蔓，后期块茎迅速彭大的目的，在甩条发棵期和块茎膨大期采用滴灌系统精准施入山药生长发育所需的肥料。</w:t>
      </w:r>
    </w:p>
    <w:p>
      <w:pPr>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（4）适宜密植。拉网搭架、水肥一体化、草害防控及植株生长调控等技术的使用能获得良好的田间通风透光条件，十分有利于高密度栽培。2023年，经试验亩播种10000棵，测产发现单株重量0.25</w:t>
      </w:r>
      <w:bookmarkStart w:id="24" w:name="_GoBack"/>
      <w:bookmarkEnd w:id="24"/>
      <w:r>
        <w:rPr>
          <w:rFonts w:hint="eastAsia" w:ascii="仿宋_GB2312" w:hAnsi="仿宋_GB2312" w:eastAsia="仿宋_GB2312" w:cs="仿宋_GB2312"/>
          <w:kern w:val="2"/>
          <w:sz w:val="32"/>
          <w:szCs w:val="32"/>
          <w:lang w:val="en-US" w:eastAsia="zh-CN" w:bidi="ar-SA"/>
        </w:rPr>
        <w:t>-0.4kg，亩产达3000kg，明显增产。</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（5）技术集成度高。本标准从瑞昌山药选种留种、搭架、灌溉、施肥、除草、生长调控、采挖、贮藏等多个方面、多项技术进行集成，有利于提高产量，提升商品率，确保农民稳产稳收。</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4、作用及效果</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作用：（1）降低畸形率，提高瑞昌山药商品率；（2）提高产量，有利于农民稳产稳收；（3）降低农户种植风险，促进瑞昌山药产业高质量发展。</w:t>
      </w:r>
    </w:p>
    <w:p>
      <w:pPr>
        <w:ind w:firstLine="640" w:firstLineChars="200"/>
        <w:rPr>
          <w:rFonts w:hint="eastAsia"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该技术对农户熟化运用的7项技术进行集成，可操作性强，田间使用可增产100%以上，商品率提高20%以上。该技术的推广为推进瑞昌山药特色优势产业高质量、可持续发展提供必要的技术保障。</w:t>
      </w:r>
    </w:p>
    <w:p>
      <w:pPr>
        <w:ind w:firstLine="640" w:firstLineChars="200"/>
        <w:rPr>
          <w:rFonts w:eastAsia="黑体"/>
          <w:sz w:val="32"/>
          <w:szCs w:val="32"/>
        </w:rPr>
      </w:pPr>
      <w:r>
        <w:rPr>
          <w:rFonts w:hAnsi="黑体" w:eastAsia="黑体"/>
          <w:sz w:val="32"/>
          <w:szCs w:val="32"/>
        </w:rPr>
        <w:t>六、重大意见分歧的处理依据和结果</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本标准在起草制订过程中，已征询了相关行业单位和专家意见，包括大学院校、省级科研单位、市级科研单位和市、县事业机构及有关产业企业、协会，对规程条款无重大意见分歧。</w:t>
      </w:r>
    </w:p>
    <w:p>
      <w:pPr>
        <w:ind w:firstLine="640" w:firstLineChars="200"/>
        <w:rPr>
          <w:rFonts w:eastAsia="黑体"/>
          <w:sz w:val="32"/>
          <w:szCs w:val="32"/>
        </w:rPr>
      </w:pPr>
      <w:r>
        <w:rPr>
          <w:rFonts w:hAnsi="黑体" w:eastAsia="黑体"/>
          <w:sz w:val="32"/>
          <w:szCs w:val="32"/>
        </w:rPr>
        <w:t>七、贯彻标准的措施建议</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本标准为生产应用技术，具有普遍的指导作用，使用单位宜结合自己的实际情况，自愿灵活选用。本标准起草制定期间及颁布后，起草单位将加大宣传力度，同时通过多点示范，扩大其应用。</w:t>
      </w:r>
    </w:p>
    <w:p>
      <w:pPr>
        <w:ind w:firstLine="640" w:firstLineChars="200"/>
        <w:rPr>
          <w:rFonts w:hAnsi="黑体" w:eastAsia="黑体"/>
          <w:sz w:val="32"/>
          <w:szCs w:val="32"/>
        </w:rPr>
      </w:pPr>
      <w:r>
        <w:rPr>
          <w:rFonts w:hint="eastAsia" w:hAnsi="黑体" w:eastAsia="黑体"/>
          <w:sz w:val="32"/>
          <w:szCs w:val="32"/>
        </w:rPr>
        <w:t>八、其他应说明的事项</w:t>
      </w:r>
    </w:p>
    <w:p>
      <w:pPr>
        <w:adjustRightInd w:val="0"/>
        <w:snapToGrid w:val="0"/>
        <w:spacing w:line="360" w:lineRule="auto"/>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本标准是首次制定，在制定过程中，标准制定工作组对</w:t>
      </w:r>
      <w:r>
        <w:rPr>
          <w:rFonts w:hint="eastAsia" w:ascii="仿宋" w:hAnsi="仿宋" w:eastAsia="仿宋" w:cs="Times New Roman"/>
          <w:sz w:val="32"/>
          <w:szCs w:val="32"/>
          <w:lang w:val="en-US" w:eastAsia="zh-CN"/>
        </w:rPr>
        <w:t>瑞昌山药生产</w:t>
      </w:r>
      <w:r>
        <w:rPr>
          <w:rFonts w:hint="eastAsia" w:ascii="仿宋" w:hAnsi="仿宋" w:eastAsia="仿宋" w:cs="Times New Roman"/>
          <w:sz w:val="32"/>
          <w:szCs w:val="32"/>
        </w:rPr>
        <w:t>情况进行充分调研，查阅了国内外相关资料，并开展了多年</w:t>
      </w:r>
      <w:r>
        <w:rPr>
          <w:rFonts w:hint="eastAsia" w:ascii="仿宋" w:hAnsi="仿宋" w:eastAsia="仿宋" w:cs="Times New Roman"/>
          <w:sz w:val="32"/>
          <w:szCs w:val="32"/>
          <w:lang w:val="en-US" w:eastAsia="zh-CN"/>
        </w:rPr>
        <w:t>瑞昌山药</w:t>
      </w:r>
      <w:r>
        <w:rPr>
          <w:rFonts w:hint="default" w:ascii="仿宋" w:hAnsi="仿宋" w:eastAsia="仿宋" w:cs="Times New Roman"/>
          <w:sz w:val="32"/>
          <w:szCs w:val="32"/>
          <w:lang w:val="en-US" w:eastAsia="zh-CN"/>
        </w:rPr>
        <w:t>生产</w:t>
      </w:r>
      <w:r>
        <w:rPr>
          <w:rFonts w:hint="eastAsia" w:ascii="仿宋" w:hAnsi="仿宋" w:eastAsia="仿宋" w:cs="Times New Roman"/>
          <w:sz w:val="32"/>
          <w:szCs w:val="32"/>
        </w:rPr>
        <w:t>关键技术集成试验示范。</w:t>
      </w:r>
    </w:p>
    <w:p>
      <w:pPr>
        <w:adjustRightInd w:val="0"/>
        <w:snapToGrid w:val="0"/>
        <w:spacing w:line="360" w:lineRule="auto"/>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本标准是地方标准，在实际生产工作中，各生产应用单位或用户应尽可能采取本标准技术或结合实际需要在某些阶段及关键环节上采用本标准技术，可为产业生产提供良好的技术支持，最大的发挥本标准的积极作用。</w:t>
      </w:r>
    </w:p>
    <w:p>
      <w:pPr>
        <w:adjustRightInd w:val="0"/>
        <w:snapToGrid w:val="0"/>
        <w:spacing w:line="360" w:lineRule="auto"/>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此外，在标准制定期间，工作组得到了许多专家和相关企业领导、同仁们的大力支持和帮助，在此一并表示衷心感谢！由于受经费、时间以及其他条件所限，工作中可能存在的问题，希望各位专家和领导批评指正。</w:t>
      </w:r>
    </w:p>
    <w:p>
      <w:pPr>
        <w:ind w:firstLine="560" w:firstLineChars="200"/>
        <w:rPr>
          <w:rFonts w:hAnsi="仿宋" w:eastAsia="仿宋"/>
          <w:sz w:val="28"/>
          <w:szCs w:val="28"/>
        </w:rPr>
      </w:pPr>
    </w:p>
    <w:p>
      <w:pPr>
        <w:ind w:firstLine="560" w:firstLineChars="200"/>
        <w:rPr>
          <w:rFonts w:hAnsi="仿宋" w:eastAsia="仿宋"/>
          <w:sz w:val="28"/>
          <w:szCs w:val="28"/>
        </w:rPr>
      </w:pPr>
    </w:p>
    <w:p>
      <w:pPr>
        <w:adjustRightInd w:val="0"/>
        <w:snapToGrid w:val="0"/>
        <w:spacing w:line="360" w:lineRule="auto"/>
        <w:rPr>
          <w:rFonts w:eastAsia="仿宋_GB2312"/>
          <w:color w:val="000000"/>
          <w:sz w:val="32"/>
          <w:szCs w:val="32"/>
        </w:rPr>
      </w:pPr>
      <w:r>
        <w:rPr>
          <w:rFonts w:hint="eastAsia" w:eastAsia="仿宋_GB2312"/>
          <w:sz w:val="32"/>
          <w:szCs w:val="32"/>
        </w:rPr>
        <w:t xml:space="preserve">      </w:t>
      </w:r>
      <w:r>
        <w:rPr>
          <w:rFonts w:hint="eastAsia" w:eastAsia="仿宋_GB2312"/>
          <w:sz w:val="32"/>
          <w:szCs w:val="32"/>
          <w:lang w:val="en-US" w:eastAsia="zh-CN"/>
        </w:rPr>
        <w:t xml:space="preserve">         </w:t>
      </w:r>
      <w:r>
        <w:rPr>
          <w:rFonts w:eastAsia="仿宋_GB2312"/>
          <w:color w:val="000000"/>
          <w:sz w:val="32"/>
          <w:szCs w:val="32"/>
        </w:rPr>
        <w:t>《</w:t>
      </w:r>
      <w:r>
        <w:rPr>
          <w:rFonts w:hint="eastAsia" w:ascii="仿宋_GB2312" w:hAnsi="仿宋_GB2312" w:eastAsia="仿宋_GB2312" w:cs="仿宋_GB2312"/>
          <w:sz w:val="32"/>
          <w:szCs w:val="32"/>
          <w:lang w:val="en-US" w:eastAsia="zh-CN"/>
        </w:rPr>
        <w:t>瑞昌山药</w:t>
      </w:r>
      <w:r>
        <w:rPr>
          <w:rFonts w:hint="default"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en-US" w:eastAsia="zh-CN"/>
        </w:rPr>
        <w:t>技术规程</w:t>
      </w:r>
      <w:r>
        <w:rPr>
          <w:rFonts w:eastAsia="仿宋_GB2312"/>
          <w:color w:val="000000"/>
          <w:sz w:val="32"/>
          <w:szCs w:val="32"/>
        </w:rPr>
        <w:t>》标准起草小组</w:t>
      </w:r>
    </w:p>
    <w:p>
      <w:pPr>
        <w:adjustRightInd w:val="0"/>
        <w:snapToGrid w:val="0"/>
        <w:spacing w:line="360" w:lineRule="auto"/>
        <w:ind w:firstLine="640" w:firstLineChars="200"/>
        <w:jc w:val="right"/>
        <w:rPr>
          <w:sz w:val="24"/>
        </w:rPr>
      </w:pPr>
      <w:r>
        <w:rPr>
          <w:rFonts w:eastAsia="仿宋_GB2312"/>
          <w:sz w:val="32"/>
          <w:szCs w:val="32"/>
        </w:rPr>
        <w:t xml:space="preserve"> </w:t>
      </w:r>
      <w:r>
        <w:rPr>
          <w:rFonts w:hint="eastAsia" w:eastAsia="仿宋_GB2312"/>
          <w:sz w:val="32"/>
          <w:szCs w:val="32"/>
        </w:rPr>
        <w:t>2024年</w:t>
      </w:r>
      <w:r>
        <w:rPr>
          <w:rFonts w:hint="eastAsia" w:eastAsia="仿宋_GB2312"/>
          <w:sz w:val="32"/>
          <w:szCs w:val="32"/>
          <w:lang w:val="en-US" w:eastAsia="zh-CN"/>
        </w:rPr>
        <w:t>6</w:t>
      </w:r>
      <w:r>
        <w:rPr>
          <w:rFonts w:hint="eastAsia" w:eastAsia="仿宋_GB2312"/>
          <w:sz w:val="32"/>
          <w:szCs w:val="32"/>
        </w:rPr>
        <w:t>月</w:t>
      </w:r>
      <w:r>
        <w:rPr>
          <w:rFonts w:hint="eastAsia" w:eastAsia="仿宋_GB2312"/>
          <w:sz w:val="32"/>
          <w:szCs w:val="32"/>
          <w:lang w:val="en-US" w:eastAsia="zh-CN"/>
        </w:rPr>
        <w:t>7</w:t>
      </w:r>
      <w:r>
        <w:rPr>
          <w:rFonts w:hint="eastAsia" w:eastAsia="仿宋_GB2312"/>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dlOGFjNGMwMmJjMTllZGM4Y2ViMTQxYTQ3ZjI5NzEifQ=="/>
  </w:docVars>
  <w:rsids>
    <w:rsidRoot w:val="008F7F5A"/>
    <w:rsid w:val="000126EC"/>
    <w:rsid w:val="00015320"/>
    <w:rsid w:val="00022147"/>
    <w:rsid w:val="00025FB5"/>
    <w:rsid w:val="00037B88"/>
    <w:rsid w:val="0004051F"/>
    <w:rsid w:val="00052805"/>
    <w:rsid w:val="0005499C"/>
    <w:rsid w:val="00066DA7"/>
    <w:rsid w:val="00067AC1"/>
    <w:rsid w:val="00086A76"/>
    <w:rsid w:val="00087CE4"/>
    <w:rsid w:val="00091250"/>
    <w:rsid w:val="00091B95"/>
    <w:rsid w:val="000A2D71"/>
    <w:rsid w:val="000B4431"/>
    <w:rsid w:val="000C40CB"/>
    <w:rsid w:val="000C49C4"/>
    <w:rsid w:val="000C5CF0"/>
    <w:rsid w:val="000C614C"/>
    <w:rsid w:val="000D00A2"/>
    <w:rsid w:val="000D16BC"/>
    <w:rsid w:val="000D408B"/>
    <w:rsid w:val="000E4CEF"/>
    <w:rsid w:val="000F5872"/>
    <w:rsid w:val="001048CD"/>
    <w:rsid w:val="00105D50"/>
    <w:rsid w:val="0011741C"/>
    <w:rsid w:val="001222E2"/>
    <w:rsid w:val="00126930"/>
    <w:rsid w:val="00132B2E"/>
    <w:rsid w:val="001366EA"/>
    <w:rsid w:val="00143732"/>
    <w:rsid w:val="00145343"/>
    <w:rsid w:val="00157DC7"/>
    <w:rsid w:val="0016177E"/>
    <w:rsid w:val="00163501"/>
    <w:rsid w:val="00164FD5"/>
    <w:rsid w:val="001834F0"/>
    <w:rsid w:val="001927B1"/>
    <w:rsid w:val="00196917"/>
    <w:rsid w:val="001B04F3"/>
    <w:rsid w:val="001B16DA"/>
    <w:rsid w:val="001B6A8B"/>
    <w:rsid w:val="001C064A"/>
    <w:rsid w:val="001D7852"/>
    <w:rsid w:val="001E66EC"/>
    <w:rsid w:val="0021052C"/>
    <w:rsid w:val="002155FD"/>
    <w:rsid w:val="00243947"/>
    <w:rsid w:val="002478AC"/>
    <w:rsid w:val="002605C6"/>
    <w:rsid w:val="00271DF0"/>
    <w:rsid w:val="002851FE"/>
    <w:rsid w:val="002965C3"/>
    <w:rsid w:val="002A2D79"/>
    <w:rsid w:val="002A5C9B"/>
    <w:rsid w:val="002B361D"/>
    <w:rsid w:val="002D20B2"/>
    <w:rsid w:val="002D3943"/>
    <w:rsid w:val="002D6A63"/>
    <w:rsid w:val="002E2F24"/>
    <w:rsid w:val="002E56D5"/>
    <w:rsid w:val="002E5E92"/>
    <w:rsid w:val="002F0844"/>
    <w:rsid w:val="002F0CAF"/>
    <w:rsid w:val="00304E67"/>
    <w:rsid w:val="00305C78"/>
    <w:rsid w:val="00314BFE"/>
    <w:rsid w:val="0031539B"/>
    <w:rsid w:val="00323AD1"/>
    <w:rsid w:val="00330C29"/>
    <w:rsid w:val="00342C30"/>
    <w:rsid w:val="00343AF8"/>
    <w:rsid w:val="00345E60"/>
    <w:rsid w:val="003615A4"/>
    <w:rsid w:val="0036411E"/>
    <w:rsid w:val="003C776E"/>
    <w:rsid w:val="003D4E3F"/>
    <w:rsid w:val="003D5F11"/>
    <w:rsid w:val="003D7B1C"/>
    <w:rsid w:val="003E42E8"/>
    <w:rsid w:val="004046E0"/>
    <w:rsid w:val="00415D8D"/>
    <w:rsid w:val="00424B82"/>
    <w:rsid w:val="00427AE9"/>
    <w:rsid w:val="00435ED2"/>
    <w:rsid w:val="004414B8"/>
    <w:rsid w:val="00472983"/>
    <w:rsid w:val="004748DC"/>
    <w:rsid w:val="00484204"/>
    <w:rsid w:val="00490F5B"/>
    <w:rsid w:val="004A2CAB"/>
    <w:rsid w:val="004B28D7"/>
    <w:rsid w:val="004B5EC4"/>
    <w:rsid w:val="004B6C10"/>
    <w:rsid w:val="004D0DB7"/>
    <w:rsid w:val="004D2D1C"/>
    <w:rsid w:val="004E51FC"/>
    <w:rsid w:val="004E6456"/>
    <w:rsid w:val="004F375C"/>
    <w:rsid w:val="005157C8"/>
    <w:rsid w:val="00521306"/>
    <w:rsid w:val="0053270F"/>
    <w:rsid w:val="0054508A"/>
    <w:rsid w:val="005640AC"/>
    <w:rsid w:val="005656A0"/>
    <w:rsid w:val="005A4DF8"/>
    <w:rsid w:val="005A61B4"/>
    <w:rsid w:val="005C0863"/>
    <w:rsid w:val="005E0C8C"/>
    <w:rsid w:val="005F07A0"/>
    <w:rsid w:val="005F1BEE"/>
    <w:rsid w:val="00611510"/>
    <w:rsid w:val="00611D17"/>
    <w:rsid w:val="00614B7C"/>
    <w:rsid w:val="00631025"/>
    <w:rsid w:val="00637C28"/>
    <w:rsid w:val="00651480"/>
    <w:rsid w:val="0067140A"/>
    <w:rsid w:val="006B3AAD"/>
    <w:rsid w:val="006C0AF3"/>
    <w:rsid w:val="006C2A28"/>
    <w:rsid w:val="006C72EB"/>
    <w:rsid w:val="006D3DD9"/>
    <w:rsid w:val="006D4317"/>
    <w:rsid w:val="006D44D7"/>
    <w:rsid w:val="006E724C"/>
    <w:rsid w:val="006F2CA0"/>
    <w:rsid w:val="0070147B"/>
    <w:rsid w:val="00703461"/>
    <w:rsid w:val="0070715E"/>
    <w:rsid w:val="007204C4"/>
    <w:rsid w:val="00724231"/>
    <w:rsid w:val="0076141E"/>
    <w:rsid w:val="007635D1"/>
    <w:rsid w:val="00766AF3"/>
    <w:rsid w:val="00767017"/>
    <w:rsid w:val="00791F47"/>
    <w:rsid w:val="0079631A"/>
    <w:rsid w:val="007963D1"/>
    <w:rsid w:val="007A220B"/>
    <w:rsid w:val="007A74CC"/>
    <w:rsid w:val="007B7428"/>
    <w:rsid w:val="007C3800"/>
    <w:rsid w:val="007C4560"/>
    <w:rsid w:val="007C680E"/>
    <w:rsid w:val="007E1F75"/>
    <w:rsid w:val="007F0946"/>
    <w:rsid w:val="007F7169"/>
    <w:rsid w:val="00807254"/>
    <w:rsid w:val="008153B3"/>
    <w:rsid w:val="00827561"/>
    <w:rsid w:val="008429DD"/>
    <w:rsid w:val="00843668"/>
    <w:rsid w:val="00846AC4"/>
    <w:rsid w:val="00850A6F"/>
    <w:rsid w:val="0085269E"/>
    <w:rsid w:val="0085562A"/>
    <w:rsid w:val="00860C36"/>
    <w:rsid w:val="00862A9F"/>
    <w:rsid w:val="00862D7F"/>
    <w:rsid w:val="0088102C"/>
    <w:rsid w:val="00882853"/>
    <w:rsid w:val="00883D52"/>
    <w:rsid w:val="008A4A26"/>
    <w:rsid w:val="008B35E0"/>
    <w:rsid w:val="008B6F32"/>
    <w:rsid w:val="008B7239"/>
    <w:rsid w:val="008C1265"/>
    <w:rsid w:val="008D09F3"/>
    <w:rsid w:val="008D3345"/>
    <w:rsid w:val="008D4711"/>
    <w:rsid w:val="008E3007"/>
    <w:rsid w:val="008F4D3E"/>
    <w:rsid w:val="008F685A"/>
    <w:rsid w:val="008F7F5A"/>
    <w:rsid w:val="00900359"/>
    <w:rsid w:val="0090278B"/>
    <w:rsid w:val="0091593F"/>
    <w:rsid w:val="0092600C"/>
    <w:rsid w:val="00927764"/>
    <w:rsid w:val="00927DCF"/>
    <w:rsid w:val="00933C35"/>
    <w:rsid w:val="00934F5B"/>
    <w:rsid w:val="009404FB"/>
    <w:rsid w:val="00945D8C"/>
    <w:rsid w:val="00956C12"/>
    <w:rsid w:val="009650D9"/>
    <w:rsid w:val="00972210"/>
    <w:rsid w:val="00983A83"/>
    <w:rsid w:val="00991AAE"/>
    <w:rsid w:val="0099635E"/>
    <w:rsid w:val="009A7F70"/>
    <w:rsid w:val="009C1923"/>
    <w:rsid w:val="009C5D20"/>
    <w:rsid w:val="009D59E9"/>
    <w:rsid w:val="009D7CD3"/>
    <w:rsid w:val="009E470E"/>
    <w:rsid w:val="009E794D"/>
    <w:rsid w:val="009F3848"/>
    <w:rsid w:val="009F65DB"/>
    <w:rsid w:val="00A21A67"/>
    <w:rsid w:val="00A221B7"/>
    <w:rsid w:val="00A24F28"/>
    <w:rsid w:val="00A30BBE"/>
    <w:rsid w:val="00A4191D"/>
    <w:rsid w:val="00A60D04"/>
    <w:rsid w:val="00A6425C"/>
    <w:rsid w:val="00A82733"/>
    <w:rsid w:val="00A85B95"/>
    <w:rsid w:val="00A87224"/>
    <w:rsid w:val="00A9187B"/>
    <w:rsid w:val="00A94314"/>
    <w:rsid w:val="00AB42A0"/>
    <w:rsid w:val="00AB67F2"/>
    <w:rsid w:val="00AE6FDA"/>
    <w:rsid w:val="00AF02D7"/>
    <w:rsid w:val="00AF2442"/>
    <w:rsid w:val="00AF6761"/>
    <w:rsid w:val="00B15536"/>
    <w:rsid w:val="00B15B4A"/>
    <w:rsid w:val="00B16862"/>
    <w:rsid w:val="00B325C3"/>
    <w:rsid w:val="00B348EC"/>
    <w:rsid w:val="00B42EB4"/>
    <w:rsid w:val="00B470F6"/>
    <w:rsid w:val="00B579E0"/>
    <w:rsid w:val="00B739EB"/>
    <w:rsid w:val="00B83C5A"/>
    <w:rsid w:val="00BA0D49"/>
    <w:rsid w:val="00BB0A71"/>
    <w:rsid w:val="00BB1813"/>
    <w:rsid w:val="00BB6E87"/>
    <w:rsid w:val="00BD0E59"/>
    <w:rsid w:val="00BD21E3"/>
    <w:rsid w:val="00BD66BB"/>
    <w:rsid w:val="00BF4955"/>
    <w:rsid w:val="00C02305"/>
    <w:rsid w:val="00C274BB"/>
    <w:rsid w:val="00C32726"/>
    <w:rsid w:val="00C34287"/>
    <w:rsid w:val="00C415B5"/>
    <w:rsid w:val="00C439E8"/>
    <w:rsid w:val="00C544B7"/>
    <w:rsid w:val="00C552E5"/>
    <w:rsid w:val="00C92673"/>
    <w:rsid w:val="00CB6B6E"/>
    <w:rsid w:val="00CC3109"/>
    <w:rsid w:val="00CC79CF"/>
    <w:rsid w:val="00CD308A"/>
    <w:rsid w:val="00CD7236"/>
    <w:rsid w:val="00CF340D"/>
    <w:rsid w:val="00CF5865"/>
    <w:rsid w:val="00D00CA5"/>
    <w:rsid w:val="00D025B3"/>
    <w:rsid w:val="00D12D6C"/>
    <w:rsid w:val="00D26967"/>
    <w:rsid w:val="00D31DE0"/>
    <w:rsid w:val="00D3735F"/>
    <w:rsid w:val="00D40499"/>
    <w:rsid w:val="00D72A88"/>
    <w:rsid w:val="00D816CE"/>
    <w:rsid w:val="00D87D45"/>
    <w:rsid w:val="00DA4806"/>
    <w:rsid w:val="00DB1258"/>
    <w:rsid w:val="00DB431F"/>
    <w:rsid w:val="00DB4F94"/>
    <w:rsid w:val="00DB7BF9"/>
    <w:rsid w:val="00DC148E"/>
    <w:rsid w:val="00DE1EE8"/>
    <w:rsid w:val="00E33144"/>
    <w:rsid w:val="00E36B72"/>
    <w:rsid w:val="00E37F07"/>
    <w:rsid w:val="00E46928"/>
    <w:rsid w:val="00E565F5"/>
    <w:rsid w:val="00E573C0"/>
    <w:rsid w:val="00E579A8"/>
    <w:rsid w:val="00E6477A"/>
    <w:rsid w:val="00E72715"/>
    <w:rsid w:val="00E91A73"/>
    <w:rsid w:val="00EC403B"/>
    <w:rsid w:val="00EC458B"/>
    <w:rsid w:val="00EC500F"/>
    <w:rsid w:val="00EC7457"/>
    <w:rsid w:val="00ED19F7"/>
    <w:rsid w:val="00ED3128"/>
    <w:rsid w:val="00EE2FBF"/>
    <w:rsid w:val="00EE36F8"/>
    <w:rsid w:val="00EE6967"/>
    <w:rsid w:val="00EF0D82"/>
    <w:rsid w:val="00EF3E8A"/>
    <w:rsid w:val="00F14D91"/>
    <w:rsid w:val="00F21690"/>
    <w:rsid w:val="00F27BD6"/>
    <w:rsid w:val="00F33260"/>
    <w:rsid w:val="00F613B5"/>
    <w:rsid w:val="00F67633"/>
    <w:rsid w:val="00F837A9"/>
    <w:rsid w:val="00F86F65"/>
    <w:rsid w:val="00F94BDA"/>
    <w:rsid w:val="00FC0CC1"/>
    <w:rsid w:val="00FC6880"/>
    <w:rsid w:val="00FC69EE"/>
    <w:rsid w:val="00FE73DD"/>
    <w:rsid w:val="00FF4271"/>
    <w:rsid w:val="07157A8D"/>
    <w:rsid w:val="0E603C3C"/>
    <w:rsid w:val="187D1304"/>
    <w:rsid w:val="1E025BF3"/>
    <w:rsid w:val="23DC4B30"/>
    <w:rsid w:val="25B6542E"/>
    <w:rsid w:val="2C7C270D"/>
    <w:rsid w:val="362E5813"/>
    <w:rsid w:val="3AAA4E76"/>
    <w:rsid w:val="3FDD16B7"/>
    <w:rsid w:val="4B295EE7"/>
    <w:rsid w:val="52E776CA"/>
    <w:rsid w:val="58FC7092"/>
    <w:rsid w:val="61BA2809"/>
    <w:rsid w:val="69DF6B12"/>
    <w:rsid w:val="6CB73B9C"/>
    <w:rsid w:val="75F72A3E"/>
    <w:rsid w:val="76067942"/>
    <w:rsid w:val="79AB7E2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adjustRightInd w:val="0"/>
      <w:snapToGrid w:val="0"/>
      <w:spacing w:after="200"/>
      <w:jc w:val="left"/>
    </w:pPr>
    <w:rPr>
      <w:rFonts w:ascii="宋体" w:hAnsi="宋体"/>
      <w:kern w:val="0"/>
      <w:szCs w:val="21"/>
      <w:lang w:val="zh-CN"/>
    </w:rPr>
  </w:style>
  <w:style w:type="paragraph" w:styleId="3">
    <w:name w:val="Balloon Text"/>
    <w:basedOn w:val="1"/>
    <w:link w:val="14"/>
    <w:unhideWhenUsed/>
    <w:qFormat/>
    <w:uiPriority w:val="99"/>
    <w:rPr>
      <w:sz w:val="18"/>
      <w:szCs w:val="18"/>
    </w:rPr>
  </w:style>
  <w:style w:type="paragraph" w:styleId="4">
    <w:name w:val="footer"/>
    <w:basedOn w:val="1"/>
    <w:link w:val="15"/>
    <w:semiHidden/>
    <w:qFormat/>
    <w:uiPriority w:val="99"/>
    <w:pPr>
      <w:tabs>
        <w:tab w:val="center" w:pos="4153"/>
        <w:tab w:val="right" w:pos="8306"/>
      </w:tabs>
      <w:snapToGrid w:val="0"/>
      <w:jc w:val="left"/>
    </w:pPr>
    <w:rPr>
      <w:kern w:val="0"/>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kern w:val="0"/>
      <w:sz w:val="18"/>
      <w:szCs w:val="18"/>
    </w:rPr>
  </w:style>
  <w:style w:type="character" w:styleId="8">
    <w:name w:val="Emphasis"/>
    <w:basedOn w:val="7"/>
    <w:qFormat/>
    <w:locked/>
    <w:uiPriority w:val="0"/>
    <w:rPr>
      <w:i/>
    </w:rPr>
  </w:style>
  <w:style w:type="character" w:styleId="9">
    <w:name w:val="annotation reference"/>
    <w:qFormat/>
    <w:uiPriority w:val="0"/>
    <w:rPr>
      <w:sz w:val="21"/>
      <w:szCs w:val="21"/>
    </w:rPr>
  </w:style>
  <w:style w:type="character" w:customStyle="1" w:styleId="10">
    <w:name w:val="段 Char"/>
    <w:link w:val="11"/>
    <w:qFormat/>
    <w:locked/>
    <w:uiPriority w:val="0"/>
    <w:rPr>
      <w:rFonts w:ascii="宋体"/>
      <w:sz w:val="21"/>
      <w:lang w:val="en-US" w:eastAsia="zh-CN" w:bidi="ar-SA"/>
    </w:rPr>
  </w:style>
  <w:style w:type="paragraph" w:customStyle="1" w:styleId="11">
    <w:name w:val="段"/>
    <w:link w:val="1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2">
    <w:name w:val="页眉 Char"/>
    <w:link w:val="5"/>
    <w:semiHidden/>
    <w:qFormat/>
    <w:locked/>
    <w:uiPriority w:val="99"/>
    <w:rPr>
      <w:rFonts w:cs="Times New Roman"/>
      <w:sz w:val="18"/>
      <w:szCs w:val="18"/>
    </w:rPr>
  </w:style>
  <w:style w:type="character" w:customStyle="1" w:styleId="13">
    <w:name w:val="正文文本 Char"/>
    <w:link w:val="2"/>
    <w:qFormat/>
    <w:uiPriority w:val="0"/>
    <w:rPr>
      <w:rFonts w:ascii="宋体" w:hAnsi="宋体" w:cs="宋体"/>
      <w:sz w:val="21"/>
      <w:szCs w:val="21"/>
      <w:lang w:val="zh-CN"/>
    </w:rPr>
  </w:style>
  <w:style w:type="character" w:customStyle="1" w:styleId="14">
    <w:name w:val="批注框文本 Char"/>
    <w:link w:val="3"/>
    <w:semiHidden/>
    <w:qFormat/>
    <w:uiPriority w:val="99"/>
    <w:rPr>
      <w:kern w:val="2"/>
      <w:sz w:val="18"/>
      <w:szCs w:val="18"/>
    </w:rPr>
  </w:style>
  <w:style w:type="character" w:customStyle="1" w:styleId="15">
    <w:name w:val="页脚 Char"/>
    <w:link w:val="4"/>
    <w:semiHidden/>
    <w:qFormat/>
    <w:locked/>
    <w:uiPriority w:val="99"/>
    <w:rPr>
      <w:rFonts w:cs="Times New Roman"/>
      <w:sz w:val="18"/>
      <w:szCs w:val="18"/>
    </w:rPr>
  </w:style>
  <w:style w:type="paragraph" w:styleId="16">
    <w:name w:val="No Spacing"/>
    <w:qFormat/>
    <w:uiPriority w:val="99"/>
    <w:pPr>
      <w:widowControl w:val="0"/>
      <w:jc w:val="both"/>
    </w:pPr>
    <w:rPr>
      <w:rFonts w:ascii="Times New Roman" w:hAnsi="Times New Roman" w:eastAsia="宋体" w:cs="Times New Roman"/>
      <w:kern w:val="2"/>
      <w:sz w:val="21"/>
      <w:szCs w:val="22"/>
      <w:lang w:val="en-US" w:eastAsia="zh-CN" w:bidi="ar-SA"/>
    </w:rPr>
  </w:style>
  <w:style w:type="paragraph" w:styleId="17">
    <w:name w:val="List Paragraph"/>
    <w:basedOn w:val="1"/>
    <w:qFormat/>
    <w:uiPriority w:val="34"/>
    <w:pPr>
      <w:widowControl/>
      <w:ind w:firstLine="420" w:firstLineChars="200"/>
      <w:jc w:val="left"/>
    </w:pPr>
    <w:rPr>
      <w:rFonts w:ascii="宋体" w:hAnsi="宋体" w:cs="宋体"/>
      <w:kern w:val="0"/>
      <w:sz w:val="24"/>
      <w:szCs w:val="24"/>
    </w:rPr>
  </w:style>
  <w:style w:type="paragraph" w:customStyle="1" w:styleId="18">
    <w:name w:val="章标题"/>
    <w:next w:val="11"/>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3594</Words>
  <Characters>3816</Characters>
  <Lines>25</Lines>
  <Paragraphs>7</Paragraphs>
  <TotalTime>1</TotalTime>
  <ScaleCrop>false</ScaleCrop>
  <LinksUpToDate>false</LinksUpToDate>
  <CharactersWithSpaces>3873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2024-05-24T07:16:00Z</dcterms:created>
  <dc:creator>thesnoW</dc:creator>
  <cp:lastModifiedBy>sky</cp:lastModifiedBy>
  <cp:lastPrinted>2024-01-30T04:06:00Z</cp:lastPrinted>
  <dcterms:modified xsi:type="dcterms:W3CDTF">2024-06-12T01:49:09Z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5B646CBB8AF7482E918EA1E3F83F3059_12</vt:lpwstr>
  </property>
</Properties>
</file>