
<file path=[Content_Types].xml><?xml version="1.0" encoding="utf-8"?>
<Types xmlns="http://schemas.openxmlformats.org/package/2006/content-types">
  <Default Extension="wmf" ContentType="image/x-wmf"/>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b/>
          <w:sz w:val="32"/>
          <w:szCs w:val="32"/>
        </w:rPr>
      </w:pPr>
      <w:bookmarkStart w:id="0" w:name="_Hlk138149555"/>
      <w:bookmarkEnd w:id="0"/>
      <w:r>
        <w:rPr>
          <w:rFonts w:eastAsia="方正小标宋简体"/>
          <w:b/>
          <w:bCs/>
          <w:sz w:val="36"/>
          <w:szCs w:val="36"/>
        </w:rPr>
        <w:t>《</w:t>
      </w:r>
      <w:r>
        <w:rPr>
          <w:rFonts w:hint="eastAsia" w:eastAsia="仿宋_GB2312"/>
          <w:b/>
          <w:bCs w:val="0"/>
          <w:sz w:val="36"/>
          <w:szCs w:val="36"/>
          <w:lang w:val="en-US" w:eastAsia="zh-CN"/>
        </w:rPr>
        <w:t>废弃矿山复绿技术规程</w:t>
      </w:r>
      <w:r>
        <w:rPr>
          <w:rFonts w:eastAsia="方正小标宋简体"/>
          <w:b/>
          <w:bCs/>
          <w:sz w:val="36"/>
          <w:szCs w:val="36"/>
        </w:rPr>
        <w:t>》</w:t>
      </w:r>
      <w:r>
        <w:rPr>
          <w:b/>
          <w:sz w:val="36"/>
          <w:szCs w:val="36"/>
        </w:rPr>
        <w:t>地方标准</w:t>
      </w:r>
      <w:r>
        <w:rPr>
          <w:rFonts w:hint="eastAsia"/>
          <w:b/>
          <w:sz w:val="36"/>
          <w:szCs w:val="36"/>
        </w:rPr>
        <w:t>修订</w:t>
      </w:r>
      <w:r>
        <w:rPr>
          <w:b/>
          <w:sz w:val="36"/>
          <w:szCs w:val="36"/>
        </w:rPr>
        <w:t>说明</w:t>
      </w:r>
    </w:p>
    <w:p>
      <w:pPr>
        <w:spacing w:line="360" w:lineRule="auto"/>
        <w:ind w:firstLine="627" w:firstLineChars="196"/>
        <w:rPr>
          <w:rFonts w:eastAsia="黑体"/>
          <w:sz w:val="32"/>
          <w:szCs w:val="32"/>
        </w:rPr>
      </w:pPr>
      <w:r>
        <w:rPr>
          <w:rFonts w:eastAsia="黑体"/>
          <w:sz w:val="32"/>
          <w:szCs w:val="32"/>
        </w:rPr>
        <w:t>一、工作简况</w:t>
      </w:r>
    </w:p>
    <w:p>
      <w:pPr>
        <w:ind w:firstLine="640" w:firstLineChars="200"/>
        <w:rPr>
          <w:rFonts w:eastAsia="楷体"/>
          <w:sz w:val="32"/>
          <w:szCs w:val="32"/>
        </w:rPr>
      </w:pPr>
      <w:r>
        <w:rPr>
          <w:rFonts w:eastAsia="楷体"/>
          <w:sz w:val="32"/>
          <w:szCs w:val="32"/>
        </w:rPr>
        <w:t>1.任务来源</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eastAsia="仿宋_GB2312"/>
          <w:bCs/>
          <w:sz w:val="32"/>
          <w:szCs w:val="32"/>
        </w:rPr>
      </w:pPr>
      <w:r>
        <w:rPr>
          <w:rFonts w:hint="eastAsia" w:eastAsia="仿宋_GB2312"/>
          <w:bCs/>
          <w:sz w:val="32"/>
          <w:szCs w:val="32"/>
        </w:rPr>
        <w:t>根据</w:t>
      </w:r>
      <w:r>
        <w:rPr>
          <w:rFonts w:hint="eastAsia" w:eastAsia="仿宋_GB2312"/>
          <w:bCs/>
          <w:sz w:val="32"/>
          <w:szCs w:val="32"/>
          <w:lang w:val="en-US" w:eastAsia="zh-CN"/>
        </w:rPr>
        <w:t>2023年10月20日</w:t>
      </w:r>
      <w:r>
        <w:rPr>
          <w:rFonts w:hint="eastAsia" w:eastAsia="仿宋_GB2312"/>
          <w:bCs/>
          <w:sz w:val="32"/>
          <w:szCs w:val="32"/>
        </w:rPr>
        <w:t>江西省市场监管局</w:t>
      </w:r>
      <w:r>
        <w:rPr>
          <w:rFonts w:hint="eastAsia" w:eastAsia="仿宋_GB2312"/>
          <w:bCs/>
          <w:sz w:val="32"/>
          <w:szCs w:val="32"/>
          <w:lang w:val="en-US" w:eastAsia="zh-CN"/>
        </w:rPr>
        <w:t>关于同意修订《低效林改造技术规程》等24项林业地方标准的复函</w:t>
      </w:r>
      <w:r>
        <w:rPr>
          <w:rFonts w:hint="eastAsia" w:eastAsia="仿宋_GB2312"/>
          <w:bCs/>
          <w:sz w:val="32"/>
          <w:szCs w:val="32"/>
        </w:rPr>
        <w:t>，公布了地方标准《</w:t>
      </w:r>
      <w:r>
        <w:rPr>
          <w:rFonts w:hint="eastAsia" w:ascii="仿宋" w:hAnsi="仿宋" w:eastAsia="仿宋" w:cs="仿宋"/>
          <w:sz w:val="32"/>
          <w:szCs w:val="32"/>
        </w:rPr>
        <w:t>土壤调理剂与狼尾草联合修复稀土尾矿技术规程</w:t>
      </w:r>
      <w:r>
        <w:rPr>
          <w:rFonts w:hint="eastAsia" w:eastAsia="仿宋_GB2312"/>
          <w:bCs/>
          <w:sz w:val="32"/>
          <w:szCs w:val="32"/>
        </w:rPr>
        <w:t>》</w:t>
      </w:r>
      <w:r>
        <w:rPr>
          <w:rFonts w:hint="eastAsia" w:eastAsia="仿宋_GB2312"/>
          <w:bCs/>
          <w:sz w:val="32"/>
          <w:szCs w:val="32"/>
          <w:lang w:eastAsia="zh-CN"/>
        </w:rPr>
        <w:t>（</w:t>
      </w:r>
      <w:r>
        <w:rPr>
          <w:rFonts w:hint="eastAsia"/>
          <w:sz w:val="32"/>
          <w:szCs w:val="32"/>
          <w:lang w:val="en-US" w:eastAsia="zh-CN"/>
        </w:rPr>
        <w:t>DB36/T 1340-2020</w:t>
      </w:r>
      <w:r>
        <w:rPr>
          <w:rFonts w:hint="eastAsia" w:eastAsia="仿宋_GB2312"/>
          <w:bCs/>
          <w:sz w:val="32"/>
          <w:szCs w:val="32"/>
          <w:lang w:eastAsia="zh-CN"/>
        </w:rPr>
        <w:t>）</w:t>
      </w:r>
      <w:r>
        <w:rPr>
          <w:rFonts w:hint="eastAsia" w:eastAsia="仿宋_GB2312"/>
          <w:bCs/>
          <w:sz w:val="32"/>
          <w:szCs w:val="32"/>
        </w:rPr>
        <w:t>的复审结论为修订</w:t>
      </w:r>
      <w:r>
        <w:rPr>
          <w:rFonts w:hint="eastAsia" w:eastAsia="仿宋_GB2312"/>
          <w:bCs/>
          <w:sz w:val="32"/>
          <w:szCs w:val="32"/>
          <w:lang w:eastAsia="zh-CN"/>
        </w:rPr>
        <w:t>，</w:t>
      </w:r>
      <w:r>
        <w:rPr>
          <w:rFonts w:hint="eastAsia" w:eastAsia="仿宋_GB2312"/>
          <w:bCs/>
          <w:sz w:val="32"/>
          <w:szCs w:val="32"/>
          <w:lang w:val="en-US" w:eastAsia="zh-CN"/>
        </w:rPr>
        <w:t>且修订后标准名称改为《废弃矿山复绿技术规程》</w:t>
      </w:r>
      <w:r>
        <w:rPr>
          <w:rFonts w:hint="eastAsia" w:eastAsia="仿宋_GB2312"/>
          <w:bCs/>
          <w:sz w:val="32"/>
          <w:szCs w:val="32"/>
        </w:rPr>
        <w:t>。</w:t>
      </w:r>
      <w:r>
        <w:rPr>
          <w:rFonts w:hint="eastAsia" w:eastAsia="仿宋_GB2312"/>
          <w:bCs/>
          <w:sz w:val="32"/>
          <w:szCs w:val="32"/>
          <w:lang w:val="en-US" w:eastAsia="zh-CN"/>
        </w:rPr>
        <w:t>因此，原</w:t>
      </w:r>
      <w:r>
        <w:rPr>
          <w:rFonts w:hint="eastAsia" w:eastAsia="仿宋_GB2312"/>
          <w:bCs/>
          <w:sz w:val="32"/>
          <w:szCs w:val="32"/>
        </w:rPr>
        <w:t>标准</w:t>
      </w:r>
      <w:r>
        <w:rPr>
          <w:rFonts w:hint="eastAsia" w:eastAsia="仿宋_GB2312"/>
          <w:bCs/>
          <w:sz w:val="32"/>
          <w:szCs w:val="32"/>
          <w:lang w:val="en-US" w:eastAsia="zh-CN"/>
        </w:rPr>
        <w:t>起草单位根据要求对</w:t>
      </w:r>
      <w:r>
        <w:rPr>
          <w:rFonts w:hint="eastAsia" w:eastAsia="仿宋_GB2312"/>
          <w:bCs/>
          <w:sz w:val="32"/>
          <w:szCs w:val="32"/>
        </w:rPr>
        <w:t>地方标准</w:t>
      </w:r>
      <w:r>
        <w:rPr>
          <w:rFonts w:hint="eastAsia" w:eastAsia="仿宋_GB2312"/>
          <w:bCs/>
          <w:sz w:val="32"/>
          <w:szCs w:val="32"/>
          <w:lang w:val="en-US" w:eastAsia="zh-CN"/>
        </w:rPr>
        <w:t>进行</w:t>
      </w:r>
      <w:r>
        <w:rPr>
          <w:rFonts w:hint="eastAsia" w:eastAsia="仿宋_GB2312"/>
          <w:bCs/>
          <w:sz w:val="32"/>
          <w:szCs w:val="32"/>
        </w:rPr>
        <w:t>修订。</w:t>
      </w:r>
    </w:p>
    <w:p>
      <w:pPr>
        <w:ind w:firstLine="640" w:firstLineChars="200"/>
        <w:rPr>
          <w:rFonts w:eastAsia="楷体"/>
          <w:sz w:val="32"/>
          <w:szCs w:val="32"/>
        </w:rPr>
      </w:pPr>
      <w:r>
        <w:rPr>
          <w:rFonts w:eastAsia="楷体"/>
          <w:sz w:val="32"/>
          <w:szCs w:val="32"/>
        </w:rPr>
        <w:t>2.起草单位</w:t>
      </w:r>
    </w:p>
    <w:p>
      <w:pPr>
        <w:ind w:firstLine="640" w:firstLineChars="200"/>
        <w:rPr>
          <w:rFonts w:hint="default" w:eastAsia="仿宋_GB2312"/>
          <w:sz w:val="32"/>
          <w:szCs w:val="32"/>
          <w:lang w:val="en-US" w:eastAsia="zh-CN"/>
        </w:rPr>
      </w:pPr>
      <w:r>
        <w:rPr>
          <w:rFonts w:eastAsia="仿宋_GB2312"/>
          <w:sz w:val="32"/>
          <w:szCs w:val="32"/>
        </w:rPr>
        <w:t>江西</w:t>
      </w:r>
      <w:r>
        <w:rPr>
          <w:rFonts w:hint="eastAsia" w:eastAsia="仿宋_GB2312"/>
          <w:sz w:val="32"/>
          <w:szCs w:val="32"/>
          <w:lang w:val="en-US" w:eastAsia="zh-CN"/>
        </w:rPr>
        <w:t>农业大学、南昌申祗生态农业发展有限公司</w:t>
      </w:r>
    </w:p>
    <w:p>
      <w:pPr>
        <w:ind w:firstLine="640" w:firstLineChars="200"/>
        <w:rPr>
          <w:rFonts w:eastAsia="楷体"/>
          <w:sz w:val="32"/>
          <w:szCs w:val="32"/>
        </w:rPr>
      </w:pPr>
      <w:r>
        <w:rPr>
          <w:rFonts w:eastAsia="楷体"/>
          <w:sz w:val="32"/>
          <w:szCs w:val="32"/>
        </w:rPr>
        <w:t>3.主要起草人(以表格形式将内容明确)</w:t>
      </w:r>
    </w:p>
    <w:tbl>
      <w:tblPr>
        <w:tblStyle w:val="6"/>
        <w:tblW w:w="8211" w:type="dxa"/>
        <w:tblInd w:w="42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3"/>
        <w:gridCol w:w="900"/>
        <w:gridCol w:w="1675"/>
        <w:gridCol w:w="2261"/>
        <w:gridCol w:w="21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3" w:type="dxa"/>
            <w:shd w:val="clear" w:color="auto" w:fill="auto"/>
            <w:vAlign w:val="center"/>
          </w:tcPr>
          <w:p>
            <w:pPr>
              <w:jc w:val="center"/>
              <w:rPr>
                <w:rFonts w:eastAsia="仿宋_GB2312"/>
                <w:sz w:val="30"/>
                <w:szCs w:val="30"/>
              </w:rPr>
            </w:pPr>
            <w:r>
              <w:rPr>
                <w:rFonts w:eastAsia="仿宋_GB2312"/>
                <w:sz w:val="30"/>
                <w:szCs w:val="30"/>
              </w:rPr>
              <w:t>姓 名</w:t>
            </w:r>
          </w:p>
        </w:tc>
        <w:tc>
          <w:tcPr>
            <w:tcW w:w="900" w:type="dxa"/>
            <w:shd w:val="clear" w:color="auto" w:fill="auto"/>
            <w:vAlign w:val="center"/>
          </w:tcPr>
          <w:p>
            <w:pPr>
              <w:jc w:val="center"/>
              <w:rPr>
                <w:rFonts w:eastAsia="仿宋_GB2312"/>
                <w:sz w:val="30"/>
                <w:szCs w:val="30"/>
              </w:rPr>
            </w:pPr>
            <w:r>
              <w:rPr>
                <w:rFonts w:eastAsia="仿宋_GB2312"/>
                <w:sz w:val="30"/>
                <w:szCs w:val="30"/>
              </w:rPr>
              <w:t>性别</w:t>
            </w:r>
          </w:p>
        </w:tc>
        <w:tc>
          <w:tcPr>
            <w:tcW w:w="1675" w:type="dxa"/>
            <w:shd w:val="clear" w:color="auto" w:fill="auto"/>
            <w:vAlign w:val="center"/>
          </w:tcPr>
          <w:p>
            <w:pPr>
              <w:jc w:val="center"/>
              <w:rPr>
                <w:rFonts w:eastAsia="仿宋_GB2312"/>
                <w:sz w:val="30"/>
                <w:szCs w:val="30"/>
              </w:rPr>
            </w:pPr>
            <w:r>
              <w:rPr>
                <w:rFonts w:eastAsia="仿宋_GB2312"/>
                <w:sz w:val="30"/>
                <w:szCs w:val="30"/>
              </w:rPr>
              <w:t>职务/职称</w:t>
            </w:r>
          </w:p>
        </w:tc>
        <w:tc>
          <w:tcPr>
            <w:tcW w:w="2261" w:type="dxa"/>
            <w:shd w:val="clear" w:color="auto" w:fill="auto"/>
            <w:vAlign w:val="center"/>
          </w:tcPr>
          <w:p>
            <w:pPr>
              <w:jc w:val="center"/>
              <w:rPr>
                <w:rFonts w:eastAsia="仿宋_GB2312"/>
                <w:sz w:val="30"/>
                <w:szCs w:val="30"/>
              </w:rPr>
            </w:pPr>
            <w:r>
              <w:rPr>
                <w:rFonts w:eastAsia="仿宋_GB2312"/>
                <w:sz w:val="30"/>
                <w:szCs w:val="30"/>
              </w:rPr>
              <w:t>工作单位</w:t>
            </w:r>
          </w:p>
        </w:tc>
        <w:tc>
          <w:tcPr>
            <w:tcW w:w="2162" w:type="dxa"/>
            <w:shd w:val="clear" w:color="auto" w:fill="auto"/>
            <w:vAlign w:val="center"/>
          </w:tcPr>
          <w:p>
            <w:pPr>
              <w:jc w:val="center"/>
              <w:rPr>
                <w:rFonts w:eastAsia="仿宋_GB2312"/>
                <w:sz w:val="30"/>
                <w:szCs w:val="30"/>
              </w:rPr>
            </w:pPr>
            <w:r>
              <w:rPr>
                <w:rFonts w:eastAsia="仿宋_GB2312"/>
                <w:sz w:val="30"/>
                <w:szCs w:val="30"/>
              </w:rPr>
              <w:t>任务分工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3" w:type="dxa"/>
            <w:vAlign w:val="center"/>
          </w:tcPr>
          <w:p>
            <w:pPr>
              <w:jc w:val="center"/>
              <w:rPr>
                <w:rFonts w:hint="default" w:eastAsia="仿宋_GB2312"/>
                <w:sz w:val="32"/>
                <w:szCs w:val="32"/>
                <w:lang w:val="en-US" w:eastAsia="zh-CN"/>
              </w:rPr>
            </w:pPr>
            <w:r>
              <w:rPr>
                <w:rFonts w:hint="eastAsia" w:eastAsia="仿宋_GB2312"/>
                <w:sz w:val="32"/>
                <w:szCs w:val="32"/>
                <w:lang w:val="en-US" w:eastAsia="zh-CN"/>
              </w:rPr>
              <w:t>吴建富</w:t>
            </w:r>
          </w:p>
        </w:tc>
        <w:tc>
          <w:tcPr>
            <w:tcW w:w="900" w:type="dxa"/>
            <w:vAlign w:val="center"/>
          </w:tcPr>
          <w:p>
            <w:pPr>
              <w:jc w:val="center"/>
              <w:rPr>
                <w:rFonts w:hint="eastAsia" w:eastAsia="仿宋_GB2312"/>
                <w:sz w:val="32"/>
                <w:szCs w:val="32"/>
                <w:lang w:val="en-US" w:eastAsia="zh-CN"/>
              </w:rPr>
            </w:pPr>
            <w:r>
              <w:rPr>
                <w:rFonts w:hint="eastAsia" w:eastAsia="仿宋_GB2312"/>
                <w:sz w:val="32"/>
                <w:szCs w:val="32"/>
                <w:lang w:val="en-US" w:eastAsia="zh-CN"/>
              </w:rPr>
              <w:t>男</w:t>
            </w:r>
          </w:p>
        </w:tc>
        <w:tc>
          <w:tcPr>
            <w:tcW w:w="1675" w:type="dxa"/>
            <w:vAlign w:val="center"/>
          </w:tcPr>
          <w:p>
            <w:pPr>
              <w:jc w:val="center"/>
              <w:rPr>
                <w:rFonts w:hint="eastAsia" w:eastAsia="仿宋_GB2312"/>
                <w:sz w:val="32"/>
                <w:szCs w:val="32"/>
                <w:lang w:val="en-US" w:eastAsia="zh-CN"/>
              </w:rPr>
            </w:pPr>
            <w:r>
              <w:rPr>
                <w:rFonts w:hint="eastAsia" w:eastAsia="仿宋_GB2312"/>
                <w:sz w:val="32"/>
                <w:szCs w:val="32"/>
                <w:lang w:val="en-US" w:eastAsia="zh-CN"/>
              </w:rPr>
              <w:t>教授</w:t>
            </w:r>
          </w:p>
        </w:tc>
        <w:tc>
          <w:tcPr>
            <w:tcW w:w="2261" w:type="dxa"/>
            <w:vAlign w:val="center"/>
          </w:tcPr>
          <w:p>
            <w:pPr>
              <w:jc w:val="center"/>
              <w:rPr>
                <w:rFonts w:hint="default" w:eastAsia="仿宋_GB2312"/>
                <w:sz w:val="32"/>
                <w:szCs w:val="32"/>
                <w:lang w:val="en-US" w:eastAsia="zh-CN"/>
              </w:rPr>
            </w:pPr>
            <w:r>
              <w:rPr>
                <w:rFonts w:hint="eastAsia" w:eastAsia="仿宋_GB2312"/>
                <w:sz w:val="32"/>
                <w:szCs w:val="32"/>
                <w:lang w:val="en-US" w:eastAsia="zh-CN"/>
              </w:rPr>
              <w:t>江西农业大学</w:t>
            </w:r>
          </w:p>
        </w:tc>
        <w:tc>
          <w:tcPr>
            <w:tcW w:w="2162" w:type="dxa"/>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eastAsia="仿宋_GB2312"/>
                <w:sz w:val="32"/>
                <w:szCs w:val="32"/>
              </w:rPr>
            </w:pPr>
            <w:r>
              <w:rPr>
                <w:rFonts w:hint="eastAsia" w:eastAsia="仿宋_GB2312"/>
                <w:sz w:val="32"/>
                <w:szCs w:val="32"/>
              </w:rPr>
              <w:t>标准起草及主持修订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3" w:type="dxa"/>
            <w:vAlign w:val="center"/>
          </w:tcPr>
          <w:p>
            <w:pPr>
              <w:jc w:val="center"/>
              <w:rPr>
                <w:rFonts w:hint="eastAsia" w:eastAsia="仿宋_GB2312"/>
                <w:sz w:val="32"/>
                <w:szCs w:val="32"/>
                <w:lang w:val="en-US" w:eastAsia="zh-CN"/>
              </w:rPr>
            </w:pPr>
            <w:r>
              <w:rPr>
                <w:rFonts w:hint="eastAsia" w:eastAsia="仿宋_GB2312"/>
                <w:sz w:val="32"/>
                <w:szCs w:val="32"/>
                <w:lang w:val="en-US" w:eastAsia="zh-CN"/>
              </w:rPr>
              <w:t>卢志红</w:t>
            </w:r>
          </w:p>
        </w:tc>
        <w:tc>
          <w:tcPr>
            <w:tcW w:w="900" w:type="dxa"/>
            <w:vAlign w:val="center"/>
          </w:tcPr>
          <w:p>
            <w:pPr>
              <w:jc w:val="center"/>
              <w:rPr>
                <w:rFonts w:hint="eastAsia" w:eastAsia="仿宋_GB2312"/>
                <w:sz w:val="32"/>
                <w:szCs w:val="32"/>
                <w:lang w:val="en-US" w:eastAsia="zh-CN"/>
              </w:rPr>
            </w:pPr>
            <w:r>
              <w:rPr>
                <w:rFonts w:hint="eastAsia" w:eastAsia="仿宋_GB2312"/>
                <w:sz w:val="32"/>
                <w:szCs w:val="32"/>
                <w:lang w:val="en-US" w:eastAsia="zh-CN"/>
              </w:rPr>
              <w:t>女</w:t>
            </w:r>
          </w:p>
        </w:tc>
        <w:tc>
          <w:tcPr>
            <w:tcW w:w="1675" w:type="dxa"/>
            <w:vAlign w:val="center"/>
          </w:tcPr>
          <w:p>
            <w:pPr>
              <w:jc w:val="center"/>
              <w:rPr>
                <w:rFonts w:hint="eastAsia" w:eastAsia="仿宋_GB2312"/>
                <w:sz w:val="32"/>
                <w:szCs w:val="32"/>
                <w:lang w:val="en-US" w:eastAsia="zh-CN"/>
              </w:rPr>
            </w:pPr>
            <w:r>
              <w:rPr>
                <w:rFonts w:hint="eastAsia" w:eastAsia="仿宋_GB2312"/>
                <w:sz w:val="32"/>
                <w:szCs w:val="32"/>
                <w:lang w:val="en-US" w:eastAsia="zh-CN"/>
              </w:rPr>
              <w:t>教授</w:t>
            </w:r>
          </w:p>
        </w:tc>
        <w:tc>
          <w:tcPr>
            <w:tcW w:w="2261" w:type="dxa"/>
            <w:vAlign w:val="center"/>
          </w:tcPr>
          <w:p>
            <w:pPr>
              <w:jc w:val="center"/>
              <w:rPr>
                <w:rFonts w:hint="default" w:eastAsia="仿宋_GB2312"/>
                <w:sz w:val="32"/>
                <w:szCs w:val="32"/>
                <w:lang w:val="en-US" w:eastAsia="zh-CN"/>
              </w:rPr>
            </w:pPr>
            <w:r>
              <w:rPr>
                <w:rFonts w:hint="eastAsia" w:eastAsia="仿宋_GB2312"/>
                <w:sz w:val="32"/>
                <w:szCs w:val="32"/>
                <w:lang w:val="en-US" w:eastAsia="zh-CN"/>
              </w:rPr>
              <w:t>江西农业大学</w:t>
            </w:r>
          </w:p>
        </w:tc>
        <w:tc>
          <w:tcPr>
            <w:tcW w:w="2162" w:type="dxa"/>
            <w:vAlign w:val="center"/>
          </w:tcPr>
          <w:p>
            <w:pPr>
              <w:jc w:val="center"/>
              <w:rPr>
                <w:rFonts w:eastAsia="仿宋_GB2312"/>
                <w:sz w:val="32"/>
                <w:szCs w:val="32"/>
              </w:rPr>
            </w:pPr>
            <w:r>
              <w:rPr>
                <w:rFonts w:hint="eastAsia" w:eastAsia="仿宋_GB2312"/>
                <w:sz w:val="32"/>
                <w:szCs w:val="32"/>
              </w:rPr>
              <w:t>负责技术研究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3" w:type="dxa"/>
            <w:vAlign w:val="center"/>
          </w:tcPr>
          <w:p>
            <w:pPr>
              <w:jc w:val="center"/>
              <w:rPr>
                <w:rFonts w:hint="eastAsia" w:ascii="仿宋" w:hAnsi="仿宋" w:eastAsia="仿宋" w:cs="仿宋"/>
                <w:sz w:val="32"/>
                <w:szCs w:val="32"/>
              </w:rPr>
            </w:pPr>
            <w:r>
              <w:rPr>
                <w:rFonts w:hint="eastAsia" w:ascii="仿宋" w:hAnsi="仿宋" w:eastAsia="仿宋" w:cs="仿宋"/>
                <w:b w:val="0"/>
                <w:bCs w:val="0"/>
                <w:sz w:val="32"/>
                <w:szCs w:val="32"/>
              </w:rPr>
              <w:t>魏宗强</w:t>
            </w:r>
          </w:p>
        </w:tc>
        <w:tc>
          <w:tcPr>
            <w:tcW w:w="900" w:type="dxa"/>
            <w:vAlign w:val="center"/>
          </w:tcPr>
          <w:p>
            <w:pPr>
              <w:jc w:val="center"/>
              <w:rPr>
                <w:rFonts w:hint="eastAsia" w:eastAsia="仿宋_GB2312"/>
                <w:sz w:val="32"/>
                <w:szCs w:val="32"/>
                <w:lang w:val="en-US" w:eastAsia="zh-CN"/>
              </w:rPr>
            </w:pPr>
            <w:r>
              <w:rPr>
                <w:rFonts w:hint="eastAsia" w:eastAsia="仿宋_GB2312"/>
                <w:sz w:val="32"/>
                <w:szCs w:val="32"/>
                <w:lang w:val="en-US" w:eastAsia="zh-CN"/>
              </w:rPr>
              <w:t>男</w:t>
            </w:r>
          </w:p>
        </w:tc>
        <w:tc>
          <w:tcPr>
            <w:tcW w:w="1675" w:type="dxa"/>
            <w:vAlign w:val="center"/>
          </w:tcPr>
          <w:p>
            <w:pPr>
              <w:jc w:val="center"/>
              <w:rPr>
                <w:rFonts w:hint="eastAsia" w:eastAsia="仿宋_GB2312"/>
                <w:sz w:val="32"/>
                <w:szCs w:val="32"/>
                <w:lang w:val="en-US" w:eastAsia="zh-CN"/>
              </w:rPr>
            </w:pPr>
            <w:r>
              <w:rPr>
                <w:rFonts w:hint="eastAsia" w:eastAsia="仿宋_GB2312"/>
                <w:sz w:val="32"/>
                <w:szCs w:val="32"/>
                <w:lang w:val="en-US" w:eastAsia="zh-CN"/>
              </w:rPr>
              <w:t>副教授</w:t>
            </w:r>
          </w:p>
        </w:tc>
        <w:tc>
          <w:tcPr>
            <w:tcW w:w="2261" w:type="dxa"/>
            <w:vAlign w:val="center"/>
          </w:tcPr>
          <w:p>
            <w:pPr>
              <w:jc w:val="center"/>
              <w:rPr>
                <w:rFonts w:eastAsia="仿宋_GB2312"/>
                <w:sz w:val="32"/>
                <w:szCs w:val="32"/>
              </w:rPr>
            </w:pPr>
            <w:r>
              <w:rPr>
                <w:rFonts w:hint="eastAsia" w:eastAsia="仿宋_GB2312"/>
                <w:sz w:val="32"/>
                <w:szCs w:val="32"/>
                <w:lang w:val="en-US" w:eastAsia="zh-CN"/>
              </w:rPr>
              <w:t>江西农业大学</w:t>
            </w:r>
          </w:p>
        </w:tc>
        <w:tc>
          <w:tcPr>
            <w:tcW w:w="2162" w:type="dxa"/>
            <w:vAlign w:val="center"/>
          </w:tcPr>
          <w:p>
            <w:pPr>
              <w:rPr>
                <w:rFonts w:eastAsia="仿宋_GB2312"/>
                <w:sz w:val="32"/>
                <w:szCs w:val="32"/>
              </w:rPr>
            </w:pPr>
            <w:r>
              <w:rPr>
                <w:rFonts w:hint="eastAsia" w:eastAsia="仿宋_GB2312"/>
                <w:sz w:val="32"/>
                <w:szCs w:val="32"/>
              </w:rPr>
              <w:t>负责技术研究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3" w:type="dxa"/>
            <w:vAlign w:val="center"/>
          </w:tcPr>
          <w:p>
            <w:pPr>
              <w:jc w:val="center"/>
              <w:rPr>
                <w:rFonts w:hint="eastAsia" w:ascii="仿宋" w:hAnsi="仿宋" w:eastAsia="仿宋" w:cs="仿宋"/>
                <w:sz w:val="32"/>
                <w:szCs w:val="32"/>
              </w:rPr>
            </w:pPr>
            <w:r>
              <w:rPr>
                <w:rFonts w:hint="eastAsia" w:ascii="仿宋" w:hAnsi="仿宋" w:eastAsia="仿宋" w:cs="仿宋"/>
                <w:b w:val="0"/>
                <w:bCs w:val="0"/>
                <w:sz w:val="32"/>
                <w:szCs w:val="32"/>
              </w:rPr>
              <w:t>肖青亮</w:t>
            </w:r>
          </w:p>
        </w:tc>
        <w:tc>
          <w:tcPr>
            <w:tcW w:w="900" w:type="dxa"/>
            <w:vAlign w:val="center"/>
          </w:tcPr>
          <w:p>
            <w:pPr>
              <w:jc w:val="center"/>
              <w:rPr>
                <w:rFonts w:hint="eastAsia" w:eastAsia="仿宋_GB2312"/>
                <w:sz w:val="32"/>
                <w:szCs w:val="32"/>
                <w:lang w:val="en-US" w:eastAsia="zh-CN"/>
              </w:rPr>
            </w:pPr>
            <w:r>
              <w:rPr>
                <w:rFonts w:hint="eastAsia" w:eastAsia="仿宋_GB2312"/>
                <w:sz w:val="32"/>
                <w:szCs w:val="32"/>
                <w:lang w:val="en-US" w:eastAsia="zh-CN"/>
              </w:rPr>
              <w:t>男</w:t>
            </w:r>
          </w:p>
        </w:tc>
        <w:tc>
          <w:tcPr>
            <w:tcW w:w="1675" w:type="dxa"/>
            <w:vAlign w:val="center"/>
          </w:tcPr>
          <w:p>
            <w:pPr>
              <w:jc w:val="center"/>
              <w:rPr>
                <w:rFonts w:hint="eastAsia" w:eastAsia="仿宋_GB2312"/>
                <w:sz w:val="32"/>
                <w:szCs w:val="32"/>
                <w:lang w:val="en-US" w:eastAsia="zh-CN"/>
              </w:rPr>
            </w:pPr>
            <w:r>
              <w:rPr>
                <w:rFonts w:hint="eastAsia" w:eastAsia="仿宋_GB2312"/>
                <w:sz w:val="32"/>
                <w:szCs w:val="32"/>
                <w:lang w:val="en-US" w:eastAsia="zh-CN"/>
              </w:rPr>
              <w:t>讲师</w:t>
            </w:r>
          </w:p>
        </w:tc>
        <w:tc>
          <w:tcPr>
            <w:tcW w:w="2261" w:type="dxa"/>
            <w:vAlign w:val="center"/>
          </w:tcPr>
          <w:p>
            <w:pPr>
              <w:jc w:val="center"/>
              <w:rPr>
                <w:rFonts w:eastAsia="仿宋_GB2312"/>
                <w:sz w:val="32"/>
                <w:szCs w:val="32"/>
              </w:rPr>
            </w:pPr>
            <w:r>
              <w:rPr>
                <w:rFonts w:hint="eastAsia" w:eastAsia="仿宋_GB2312"/>
                <w:sz w:val="32"/>
                <w:szCs w:val="32"/>
                <w:lang w:val="en-US" w:eastAsia="zh-CN"/>
              </w:rPr>
              <w:t>江西农业大学</w:t>
            </w:r>
          </w:p>
        </w:tc>
        <w:tc>
          <w:tcPr>
            <w:tcW w:w="2162" w:type="dxa"/>
            <w:vAlign w:val="center"/>
          </w:tcPr>
          <w:p>
            <w:pPr>
              <w:rPr>
                <w:rFonts w:eastAsia="仿宋_GB2312"/>
                <w:sz w:val="32"/>
                <w:szCs w:val="32"/>
              </w:rPr>
            </w:pPr>
            <w:r>
              <w:rPr>
                <w:rFonts w:hint="eastAsia" w:eastAsia="仿宋_GB2312"/>
                <w:sz w:val="32"/>
                <w:szCs w:val="32"/>
              </w:rPr>
              <w:t>负责技术研究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3" w:type="dxa"/>
            <w:vAlign w:val="center"/>
          </w:tcPr>
          <w:p>
            <w:pPr>
              <w:jc w:val="center"/>
              <w:rPr>
                <w:rFonts w:hint="eastAsia" w:ascii="仿宋" w:hAnsi="仿宋" w:eastAsia="仿宋" w:cs="仿宋"/>
                <w:sz w:val="32"/>
                <w:szCs w:val="32"/>
              </w:rPr>
            </w:pPr>
            <w:r>
              <w:rPr>
                <w:rFonts w:hint="eastAsia" w:ascii="仿宋" w:hAnsi="仿宋" w:eastAsia="仿宋" w:cs="仿宋"/>
                <w:b w:val="0"/>
                <w:bCs w:val="0"/>
                <w:sz w:val="32"/>
                <w:szCs w:val="32"/>
              </w:rPr>
              <w:t>颜晓</w:t>
            </w:r>
          </w:p>
        </w:tc>
        <w:tc>
          <w:tcPr>
            <w:tcW w:w="900" w:type="dxa"/>
            <w:vAlign w:val="center"/>
          </w:tcPr>
          <w:p>
            <w:pPr>
              <w:jc w:val="center"/>
              <w:rPr>
                <w:rFonts w:hint="eastAsia" w:eastAsia="仿宋_GB2312"/>
                <w:sz w:val="32"/>
                <w:szCs w:val="32"/>
                <w:lang w:val="en-US" w:eastAsia="zh-CN"/>
              </w:rPr>
            </w:pPr>
            <w:r>
              <w:rPr>
                <w:rFonts w:hint="eastAsia" w:eastAsia="仿宋_GB2312"/>
                <w:sz w:val="32"/>
                <w:szCs w:val="32"/>
                <w:lang w:val="en-US" w:eastAsia="zh-CN"/>
              </w:rPr>
              <w:t>女</w:t>
            </w:r>
          </w:p>
        </w:tc>
        <w:tc>
          <w:tcPr>
            <w:tcW w:w="1675" w:type="dxa"/>
            <w:vAlign w:val="center"/>
          </w:tcPr>
          <w:p>
            <w:pPr>
              <w:jc w:val="center"/>
              <w:rPr>
                <w:rFonts w:hint="eastAsia" w:eastAsia="仿宋_GB2312"/>
                <w:sz w:val="32"/>
                <w:szCs w:val="32"/>
                <w:lang w:val="en-US" w:eastAsia="zh-CN"/>
              </w:rPr>
            </w:pPr>
            <w:r>
              <w:rPr>
                <w:rFonts w:hint="eastAsia" w:eastAsia="仿宋_GB2312"/>
                <w:sz w:val="32"/>
                <w:szCs w:val="32"/>
                <w:lang w:val="en-US" w:eastAsia="zh-CN"/>
              </w:rPr>
              <w:t>副教授</w:t>
            </w:r>
          </w:p>
        </w:tc>
        <w:tc>
          <w:tcPr>
            <w:tcW w:w="2261" w:type="dxa"/>
            <w:vAlign w:val="center"/>
          </w:tcPr>
          <w:p>
            <w:pPr>
              <w:jc w:val="center"/>
              <w:rPr>
                <w:rFonts w:eastAsia="仿宋_GB2312"/>
                <w:sz w:val="32"/>
                <w:szCs w:val="32"/>
              </w:rPr>
            </w:pPr>
            <w:r>
              <w:rPr>
                <w:rFonts w:hint="eastAsia" w:eastAsia="仿宋_GB2312"/>
                <w:sz w:val="32"/>
                <w:szCs w:val="32"/>
                <w:lang w:val="en-US" w:eastAsia="zh-CN"/>
              </w:rPr>
              <w:t>江西农业大学</w:t>
            </w:r>
          </w:p>
        </w:tc>
        <w:tc>
          <w:tcPr>
            <w:tcW w:w="2162" w:type="dxa"/>
            <w:vAlign w:val="center"/>
          </w:tcPr>
          <w:p>
            <w:pPr>
              <w:rPr>
                <w:rFonts w:eastAsia="仿宋_GB2312"/>
                <w:sz w:val="32"/>
                <w:szCs w:val="32"/>
              </w:rPr>
            </w:pPr>
            <w:r>
              <w:rPr>
                <w:rFonts w:hint="eastAsia" w:eastAsia="仿宋_GB2312"/>
                <w:sz w:val="32"/>
                <w:szCs w:val="32"/>
              </w:rPr>
              <w:t>负责技术研究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3" w:type="dxa"/>
            <w:vAlign w:val="center"/>
          </w:tcPr>
          <w:p>
            <w:pPr>
              <w:jc w:val="center"/>
              <w:rPr>
                <w:rFonts w:hint="eastAsia" w:ascii="仿宋" w:hAnsi="仿宋" w:eastAsia="仿宋" w:cs="仿宋"/>
                <w:sz w:val="32"/>
                <w:szCs w:val="32"/>
              </w:rPr>
            </w:pPr>
            <w:r>
              <w:rPr>
                <w:rFonts w:hint="eastAsia" w:ascii="仿宋" w:hAnsi="仿宋" w:eastAsia="仿宋" w:cs="仿宋"/>
                <w:b w:val="0"/>
                <w:bCs w:val="0"/>
                <w:sz w:val="32"/>
                <w:szCs w:val="32"/>
              </w:rPr>
              <w:t>曾研华</w:t>
            </w:r>
          </w:p>
        </w:tc>
        <w:tc>
          <w:tcPr>
            <w:tcW w:w="900" w:type="dxa"/>
            <w:vAlign w:val="center"/>
          </w:tcPr>
          <w:p>
            <w:pPr>
              <w:jc w:val="center"/>
              <w:rPr>
                <w:rFonts w:hint="eastAsia" w:eastAsia="仿宋_GB2312"/>
                <w:sz w:val="32"/>
                <w:szCs w:val="32"/>
                <w:lang w:val="en-US" w:eastAsia="zh-CN"/>
              </w:rPr>
            </w:pPr>
            <w:r>
              <w:rPr>
                <w:rFonts w:hint="eastAsia" w:eastAsia="仿宋_GB2312"/>
                <w:sz w:val="32"/>
                <w:szCs w:val="32"/>
                <w:lang w:val="en-US" w:eastAsia="zh-CN"/>
              </w:rPr>
              <w:t>男</w:t>
            </w:r>
          </w:p>
        </w:tc>
        <w:tc>
          <w:tcPr>
            <w:tcW w:w="1675" w:type="dxa"/>
            <w:vAlign w:val="center"/>
          </w:tcPr>
          <w:p>
            <w:pPr>
              <w:jc w:val="center"/>
              <w:rPr>
                <w:rFonts w:hint="eastAsia" w:eastAsia="仿宋_GB2312"/>
                <w:sz w:val="32"/>
                <w:szCs w:val="32"/>
                <w:lang w:val="en-US" w:eastAsia="zh-CN"/>
              </w:rPr>
            </w:pPr>
            <w:r>
              <w:rPr>
                <w:rFonts w:hint="eastAsia" w:eastAsia="仿宋_GB2312"/>
                <w:sz w:val="32"/>
                <w:szCs w:val="32"/>
                <w:lang w:val="en-US" w:eastAsia="zh-CN"/>
              </w:rPr>
              <w:t>教授</w:t>
            </w:r>
          </w:p>
        </w:tc>
        <w:tc>
          <w:tcPr>
            <w:tcW w:w="2261" w:type="dxa"/>
            <w:vAlign w:val="center"/>
          </w:tcPr>
          <w:p>
            <w:pPr>
              <w:jc w:val="center"/>
              <w:rPr>
                <w:rFonts w:eastAsia="仿宋_GB2312"/>
                <w:sz w:val="32"/>
                <w:szCs w:val="32"/>
              </w:rPr>
            </w:pPr>
            <w:r>
              <w:rPr>
                <w:rFonts w:hint="eastAsia" w:eastAsia="仿宋_GB2312"/>
                <w:sz w:val="32"/>
                <w:szCs w:val="32"/>
                <w:lang w:val="en-US" w:eastAsia="zh-CN"/>
              </w:rPr>
              <w:t>江西农业大学</w:t>
            </w:r>
          </w:p>
        </w:tc>
        <w:tc>
          <w:tcPr>
            <w:tcW w:w="2162" w:type="dxa"/>
            <w:vAlign w:val="center"/>
          </w:tcPr>
          <w:p>
            <w:pPr>
              <w:rPr>
                <w:rFonts w:eastAsia="仿宋_GB2312"/>
                <w:sz w:val="32"/>
                <w:szCs w:val="32"/>
              </w:rPr>
            </w:pPr>
            <w:r>
              <w:rPr>
                <w:rFonts w:hint="eastAsia" w:eastAsia="仿宋_GB2312"/>
                <w:sz w:val="32"/>
                <w:szCs w:val="32"/>
              </w:rPr>
              <w:t>负责技术研究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3" w:type="dxa"/>
            <w:vAlign w:val="center"/>
          </w:tcPr>
          <w:p>
            <w:pPr>
              <w:jc w:val="center"/>
              <w:rPr>
                <w:rFonts w:hint="eastAsia" w:ascii="仿宋" w:hAnsi="仿宋" w:eastAsia="仿宋" w:cs="仿宋"/>
                <w:sz w:val="32"/>
                <w:szCs w:val="32"/>
              </w:rPr>
            </w:pPr>
            <w:r>
              <w:rPr>
                <w:rFonts w:hint="eastAsia" w:ascii="仿宋" w:hAnsi="仿宋" w:eastAsia="仿宋" w:cs="仿宋"/>
                <w:b w:val="0"/>
                <w:bCs w:val="0"/>
                <w:sz w:val="32"/>
                <w:szCs w:val="32"/>
              </w:rPr>
              <w:t>杨秀霞</w:t>
            </w:r>
          </w:p>
        </w:tc>
        <w:tc>
          <w:tcPr>
            <w:tcW w:w="900" w:type="dxa"/>
            <w:vAlign w:val="center"/>
          </w:tcPr>
          <w:p>
            <w:pPr>
              <w:jc w:val="center"/>
              <w:rPr>
                <w:rFonts w:hint="eastAsia" w:eastAsia="仿宋_GB2312"/>
                <w:sz w:val="32"/>
                <w:szCs w:val="32"/>
                <w:lang w:val="en-US" w:eastAsia="zh-CN"/>
              </w:rPr>
            </w:pPr>
            <w:r>
              <w:rPr>
                <w:rFonts w:hint="eastAsia" w:eastAsia="仿宋_GB2312"/>
                <w:sz w:val="32"/>
                <w:szCs w:val="32"/>
                <w:lang w:val="en-US" w:eastAsia="zh-CN"/>
              </w:rPr>
              <w:t>女</w:t>
            </w:r>
          </w:p>
        </w:tc>
        <w:tc>
          <w:tcPr>
            <w:tcW w:w="1675" w:type="dxa"/>
            <w:vAlign w:val="center"/>
          </w:tcPr>
          <w:p>
            <w:pPr>
              <w:jc w:val="center"/>
              <w:rPr>
                <w:rFonts w:hint="default" w:eastAsia="仿宋_GB2312"/>
                <w:sz w:val="32"/>
                <w:szCs w:val="32"/>
                <w:lang w:val="en-US" w:eastAsia="zh-CN"/>
              </w:rPr>
            </w:pPr>
            <w:r>
              <w:rPr>
                <w:rFonts w:hint="eastAsia" w:eastAsia="仿宋_GB2312"/>
                <w:sz w:val="32"/>
                <w:szCs w:val="32"/>
                <w:lang w:val="en-US" w:eastAsia="zh-CN"/>
              </w:rPr>
              <w:t>副教授</w:t>
            </w:r>
          </w:p>
        </w:tc>
        <w:tc>
          <w:tcPr>
            <w:tcW w:w="2261" w:type="dxa"/>
            <w:vAlign w:val="center"/>
          </w:tcPr>
          <w:p>
            <w:pPr>
              <w:jc w:val="center"/>
              <w:rPr>
                <w:rFonts w:eastAsia="仿宋_GB2312"/>
                <w:sz w:val="32"/>
                <w:szCs w:val="32"/>
              </w:rPr>
            </w:pPr>
            <w:r>
              <w:rPr>
                <w:rFonts w:hint="eastAsia" w:eastAsia="仿宋_GB2312"/>
                <w:sz w:val="32"/>
                <w:szCs w:val="32"/>
                <w:lang w:val="en-US" w:eastAsia="zh-CN"/>
              </w:rPr>
              <w:t>江西农业大学</w:t>
            </w:r>
          </w:p>
        </w:tc>
        <w:tc>
          <w:tcPr>
            <w:tcW w:w="2162" w:type="dxa"/>
            <w:vAlign w:val="center"/>
          </w:tcPr>
          <w:p>
            <w:pPr>
              <w:rPr>
                <w:rFonts w:eastAsia="仿宋_GB2312"/>
                <w:sz w:val="32"/>
                <w:szCs w:val="32"/>
              </w:rPr>
            </w:pPr>
            <w:r>
              <w:rPr>
                <w:rFonts w:hint="eastAsia" w:eastAsia="仿宋_GB2312"/>
                <w:sz w:val="32"/>
                <w:szCs w:val="32"/>
              </w:rPr>
              <w:t>负责技术研究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3" w:type="dxa"/>
            <w:vAlign w:val="center"/>
          </w:tcPr>
          <w:p>
            <w:pPr>
              <w:jc w:val="center"/>
              <w:rPr>
                <w:rFonts w:hint="eastAsia" w:ascii="仿宋" w:hAnsi="仿宋" w:eastAsia="仿宋" w:cs="仿宋"/>
                <w:b w:val="0"/>
                <w:bCs w:val="0"/>
                <w:sz w:val="32"/>
                <w:szCs w:val="32"/>
                <w:lang w:val="en-US" w:eastAsia="zh-CN"/>
              </w:rPr>
            </w:pPr>
            <w:r>
              <w:rPr>
                <w:rFonts w:hint="eastAsia" w:ascii="仿宋" w:hAnsi="仿宋" w:eastAsia="仿宋" w:cs="仿宋"/>
                <w:b w:val="0"/>
                <w:bCs w:val="0"/>
                <w:sz w:val="32"/>
                <w:szCs w:val="32"/>
                <w:lang w:val="en-US" w:eastAsia="zh-CN"/>
              </w:rPr>
              <w:t>付新民</w:t>
            </w:r>
          </w:p>
        </w:tc>
        <w:tc>
          <w:tcPr>
            <w:tcW w:w="900" w:type="dxa"/>
            <w:vAlign w:val="center"/>
          </w:tcPr>
          <w:p>
            <w:pPr>
              <w:jc w:val="center"/>
              <w:rPr>
                <w:rFonts w:hint="default" w:eastAsia="仿宋_GB2312"/>
                <w:sz w:val="32"/>
                <w:szCs w:val="32"/>
                <w:lang w:val="en-US" w:eastAsia="zh-CN"/>
              </w:rPr>
            </w:pPr>
            <w:r>
              <w:rPr>
                <w:rFonts w:hint="eastAsia" w:eastAsia="仿宋_GB2312"/>
                <w:sz w:val="32"/>
                <w:szCs w:val="32"/>
                <w:lang w:val="en-US" w:eastAsia="zh-CN"/>
              </w:rPr>
              <w:t>男</w:t>
            </w:r>
          </w:p>
        </w:tc>
        <w:tc>
          <w:tcPr>
            <w:tcW w:w="1675" w:type="dxa"/>
            <w:vAlign w:val="center"/>
          </w:tcPr>
          <w:p>
            <w:pPr>
              <w:jc w:val="center"/>
              <w:rPr>
                <w:rFonts w:hint="default" w:eastAsia="仿宋_GB2312"/>
                <w:sz w:val="32"/>
                <w:szCs w:val="32"/>
                <w:lang w:val="en-US" w:eastAsia="zh-CN"/>
              </w:rPr>
            </w:pPr>
            <w:r>
              <w:rPr>
                <w:rFonts w:hint="eastAsia" w:eastAsia="仿宋_GB2312"/>
                <w:sz w:val="32"/>
                <w:szCs w:val="32"/>
                <w:lang w:val="en-US" w:eastAsia="zh-CN"/>
              </w:rPr>
              <w:t>总经理</w:t>
            </w:r>
          </w:p>
        </w:tc>
        <w:tc>
          <w:tcPr>
            <w:tcW w:w="2261" w:type="dxa"/>
            <w:vAlign w:val="center"/>
          </w:tcPr>
          <w:p>
            <w:pPr>
              <w:jc w:val="center"/>
              <w:rPr>
                <w:rFonts w:hint="eastAsia" w:eastAsia="仿宋_GB2312"/>
                <w:sz w:val="32"/>
                <w:szCs w:val="32"/>
                <w:lang w:val="en-US" w:eastAsia="zh-CN"/>
              </w:rPr>
            </w:pPr>
            <w:bookmarkStart w:id="2" w:name="_GoBack"/>
            <w:r>
              <w:rPr>
                <w:rFonts w:hint="eastAsia" w:ascii="仿宋" w:hAnsi="仿宋" w:eastAsia="仿宋" w:cs="仿宋"/>
                <w:b w:val="0"/>
                <w:bCs w:val="0"/>
                <w:sz w:val="32"/>
                <w:szCs w:val="32"/>
                <w:lang w:eastAsia="zh-CN"/>
              </w:rPr>
              <w:t>南昌申祗生态农业发展有限公司</w:t>
            </w:r>
            <w:bookmarkEnd w:id="2"/>
          </w:p>
        </w:tc>
        <w:tc>
          <w:tcPr>
            <w:tcW w:w="2162" w:type="dxa"/>
            <w:vAlign w:val="center"/>
          </w:tcPr>
          <w:p>
            <w:pPr>
              <w:rPr>
                <w:rFonts w:hint="default" w:eastAsia="仿宋_GB2312"/>
                <w:sz w:val="32"/>
                <w:szCs w:val="32"/>
                <w:lang w:val="en-US" w:eastAsia="zh-CN"/>
              </w:rPr>
            </w:pPr>
            <w:r>
              <w:rPr>
                <w:rFonts w:hint="eastAsia" w:eastAsia="仿宋_GB2312"/>
                <w:sz w:val="32"/>
                <w:szCs w:val="32"/>
                <w:lang w:val="en-US" w:eastAsia="zh-CN"/>
              </w:rPr>
              <w:t>负责示范推广</w:t>
            </w:r>
          </w:p>
        </w:tc>
      </w:tr>
    </w:tbl>
    <w:p>
      <w:pPr>
        <w:keepNext w:val="0"/>
        <w:keepLines w:val="0"/>
        <w:pageBreakBefore w:val="0"/>
        <w:widowControl w:val="0"/>
        <w:kinsoku/>
        <w:wordWrap/>
        <w:overflowPunct/>
        <w:topLinePunct w:val="0"/>
        <w:autoSpaceDE/>
        <w:autoSpaceDN/>
        <w:bidi w:val="0"/>
        <w:adjustRightInd/>
        <w:snapToGrid/>
        <w:spacing w:before="313" w:beforeLines="100" w:line="360" w:lineRule="auto"/>
        <w:ind w:firstLine="627" w:firstLineChars="196"/>
        <w:textAlignment w:val="auto"/>
        <w:rPr>
          <w:rFonts w:eastAsia="黑体"/>
          <w:sz w:val="32"/>
          <w:szCs w:val="32"/>
        </w:rPr>
      </w:pPr>
      <w:r>
        <w:rPr>
          <w:rFonts w:eastAsia="黑体"/>
          <w:sz w:val="32"/>
          <w:szCs w:val="32"/>
        </w:rPr>
        <w:t>二、修订标准的必要性和意义</w:t>
      </w:r>
    </w:p>
    <w:p>
      <w:pPr>
        <w:keepNext w:val="0"/>
        <w:keepLines w:val="0"/>
        <w:pageBreakBefore w:val="0"/>
        <w:widowControl w:val="0"/>
        <w:kinsoku/>
        <w:wordWrap/>
        <w:overflowPunct/>
        <w:topLinePunct w:val="0"/>
        <w:bidi w:val="0"/>
        <w:snapToGrid/>
        <w:spacing w:line="240" w:lineRule="auto"/>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江西赣州素有“稀土王国”之称，自70年代开采至今，稀土矿业为国家经济发展和战略安全起到了重要作用。同时，开采过程中产生了大量的尾砂，加之尾砂中含硫铵、碳铵、硝铵(提取稀土元素过程中导致)，造成了不同程度的矿区生态环境破坏。据统计，赣南稀土矿开采至今约有1.5亿立方米尾砂未得到妥善处理，有近10万公顷的耕地地表植被遭到破坏，致使矿区及其周边土壤沙化、土壤污染、水土流失严重，植被难于恢复，给当地农业生产和生态环境造成极大的影响。</w:t>
      </w:r>
    </w:p>
    <w:p>
      <w:pPr>
        <w:keepNext w:val="0"/>
        <w:keepLines w:val="0"/>
        <w:pageBreakBefore w:val="0"/>
        <w:widowControl w:val="0"/>
        <w:kinsoku/>
        <w:wordWrap/>
        <w:overflowPunct/>
        <w:topLinePunct w:val="0"/>
        <w:bidi w:val="0"/>
        <w:snapToGrid/>
        <w:spacing w:line="240" w:lineRule="auto"/>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国内关于对废弃稀土矿区尾砂土壤改良、修复的研究已有不少报道，但大多存在修复技术单一、治理时间长、成本高、工程量大、劳动强度高、修复效果慢等问题。因此，急需制定快速高效适用于稀土尾矿修复的技术规程。</w:t>
      </w:r>
    </w:p>
    <w:p>
      <w:pPr>
        <w:keepNext w:val="0"/>
        <w:keepLines w:val="0"/>
        <w:pageBreakBefore w:val="0"/>
        <w:widowControl w:val="0"/>
        <w:kinsoku/>
        <w:wordWrap/>
        <w:overflowPunct/>
        <w:topLinePunct w:val="0"/>
        <w:autoSpaceDE w:val="0"/>
        <w:autoSpaceDN w:val="0"/>
        <w:bidi w:val="0"/>
        <w:adjustRightInd w:val="0"/>
        <w:snapToGrid/>
        <w:spacing w:line="240" w:lineRule="auto"/>
        <w:ind w:firstLine="640" w:firstLineChars="200"/>
        <w:textAlignment w:val="auto"/>
        <w:rPr>
          <w:rFonts w:hint="default" w:ascii="仿宋" w:hAnsi="仿宋" w:eastAsia="仿宋" w:cs="仿宋"/>
          <w:kern w:val="0"/>
          <w:sz w:val="32"/>
          <w:szCs w:val="32"/>
          <w:lang w:val="en-US" w:eastAsia="zh-CN"/>
        </w:rPr>
      </w:pPr>
      <w:r>
        <w:rPr>
          <w:rFonts w:hint="eastAsia" w:ascii="仿宋" w:hAnsi="仿宋" w:eastAsia="仿宋" w:cs="仿宋"/>
          <w:sz w:val="32"/>
          <w:szCs w:val="32"/>
          <w:lang w:val="en-US" w:eastAsia="zh-CN"/>
        </w:rPr>
        <w:t>自2017年开始，江西农业大学土壤改良与作物养分管理研究团队成员采用野外基地大区试验、室内培养试验与室内测定分析相结合的方法，以废弃稀土矿区尾砂土壤为研究对象，以土壤调理剂和草本植物（</w:t>
      </w:r>
      <w:r>
        <w:rPr>
          <w:rFonts w:hint="eastAsia" w:ascii="仿宋" w:hAnsi="仿宋" w:eastAsia="仿宋" w:cs="仿宋"/>
          <w:color w:val="000000"/>
          <w:sz w:val="32"/>
          <w:szCs w:val="32"/>
        </w:rPr>
        <w:t>狼尾草、狗芽根、百喜草、弯叶画眉草</w:t>
      </w:r>
      <w:r>
        <w:rPr>
          <w:rFonts w:hint="eastAsia" w:ascii="仿宋" w:hAnsi="仿宋" w:eastAsia="仿宋" w:cs="仿宋"/>
          <w:sz w:val="32"/>
          <w:szCs w:val="32"/>
          <w:lang w:val="en-US" w:eastAsia="zh-CN"/>
        </w:rPr>
        <w:t>）为试验材料，研究土壤调理剂和草本植物联合修复废弃稀土矿区尾砂土壤，</w:t>
      </w:r>
      <w:r>
        <w:rPr>
          <w:rFonts w:hint="eastAsia" w:ascii="仿宋" w:hAnsi="仿宋" w:eastAsia="仿宋" w:cs="仿宋"/>
          <w:color w:val="000000"/>
          <w:sz w:val="32"/>
          <w:szCs w:val="32"/>
          <w:lang w:val="en-US" w:eastAsia="zh-CN"/>
        </w:rPr>
        <w:t>结果</w:t>
      </w:r>
      <w:r>
        <w:rPr>
          <w:rFonts w:hint="eastAsia" w:ascii="仿宋" w:hAnsi="仿宋" w:eastAsia="仿宋" w:cs="仿宋"/>
          <w:color w:val="000000"/>
          <w:sz w:val="32"/>
          <w:szCs w:val="32"/>
        </w:rPr>
        <w:t>表明狼尾草和百喜草表现为最好</w:t>
      </w:r>
      <w:r>
        <w:rPr>
          <w:rFonts w:hint="eastAsia" w:ascii="仿宋" w:hAnsi="仿宋" w:eastAsia="仿宋" w:cs="仿宋"/>
          <w:color w:val="000000"/>
          <w:sz w:val="32"/>
          <w:szCs w:val="32"/>
          <w:lang w:eastAsia="zh-CN"/>
        </w:rPr>
        <w:t>。</w:t>
      </w:r>
      <w:r>
        <w:rPr>
          <w:rFonts w:hint="eastAsia" w:ascii="仿宋" w:hAnsi="仿宋" w:eastAsia="仿宋" w:cs="仿宋"/>
          <w:color w:val="000000"/>
          <w:sz w:val="32"/>
          <w:szCs w:val="32"/>
          <w:lang w:val="en-US" w:eastAsia="zh-CN"/>
        </w:rPr>
        <w:t>因此，</w:t>
      </w:r>
      <w:r>
        <w:rPr>
          <w:rFonts w:hint="eastAsia" w:ascii="仿宋" w:hAnsi="仿宋" w:eastAsia="仿宋" w:cs="仿宋"/>
          <w:color w:val="000000"/>
          <w:sz w:val="32"/>
          <w:szCs w:val="32"/>
          <w:lang w:eastAsia="zh-CN"/>
        </w:rPr>
        <w:t>选用</w:t>
      </w:r>
      <w:r>
        <w:rPr>
          <w:rFonts w:hint="eastAsia" w:ascii="仿宋" w:hAnsi="仿宋" w:eastAsia="仿宋" w:cs="仿宋"/>
          <w:color w:val="000000"/>
          <w:sz w:val="32"/>
          <w:szCs w:val="32"/>
          <w:lang w:val="en-US" w:eastAsia="zh-CN"/>
        </w:rPr>
        <w:t>了</w:t>
      </w:r>
      <w:r>
        <w:rPr>
          <w:rFonts w:hint="eastAsia" w:ascii="仿宋" w:hAnsi="仿宋" w:eastAsia="仿宋" w:cs="仿宋"/>
          <w:color w:val="000000"/>
          <w:sz w:val="32"/>
          <w:szCs w:val="32"/>
          <w:lang w:eastAsia="zh-CN"/>
        </w:rPr>
        <w:t>生长迅速、生物量大、耐旱、耐瘠、耐湿、根系发达且价格低廉的多年生草本植物狼尾草为修复材料，</w:t>
      </w:r>
      <w:r>
        <w:rPr>
          <w:rFonts w:hint="eastAsia" w:ascii="仿宋" w:hAnsi="仿宋" w:eastAsia="仿宋" w:cs="仿宋"/>
          <w:color w:val="000000"/>
          <w:sz w:val="32"/>
          <w:szCs w:val="32"/>
          <w:lang w:val="en-US" w:eastAsia="zh-CN"/>
        </w:rPr>
        <w:t>在</w:t>
      </w:r>
      <w:r>
        <w:rPr>
          <w:rFonts w:hint="eastAsia" w:ascii="仿宋" w:hAnsi="仿宋" w:eastAsia="仿宋" w:cs="仿宋"/>
          <w:color w:val="000000"/>
          <w:sz w:val="32"/>
          <w:szCs w:val="32"/>
        </w:rPr>
        <w:t>赣州市寻乌县文峰乡上甲村典型的废弃稀土矿区</w:t>
      </w:r>
      <w:r>
        <w:rPr>
          <w:rFonts w:hint="eastAsia" w:ascii="仿宋" w:hAnsi="仿宋" w:eastAsia="仿宋" w:cs="仿宋"/>
          <w:color w:val="000000"/>
          <w:sz w:val="32"/>
          <w:szCs w:val="32"/>
          <w:lang w:val="en-US" w:eastAsia="zh-CN"/>
        </w:rPr>
        <w:t>开展了示范推广，根据研究结果</w:t>
      </w:r>
      <w:r>
        <w:rPr>
          <w:rFonts w:hint="eastAsia" w:eastAsia="仿宋_GB2312"/>
          <w:kern w:val="0"/>
          <w:sz w:val="32"/>
          <w:szCs w:val="32"/>
        </w:rPr>
        <w:t>于20</w:t>
      </w:r>
      <w:r>
        <w:rPr>
          <w:rFonts w:hint="eastAsia" w:eastAsia="仿宋_GB2312"/>
          <w:kern w:val="0"/>
          <w:sz w:val="32"/>
          <w:szCs w:val="32"/>
          <w:lang w:val="en-US" w:eastAsia="zh-CN"/>
        </w:rPr>
        <w:t>20</w:t>
      </w:r>
      <w:r>
        <w:rPr>
          <w:rFonts w:hint="eastAsia" w:eastAsia="仿宋_GB2312"/>
          <w:kern w:val="0"/>
          <w:sz w:val="32"/>
          <w:szCs w:val="32"/>
        </w:rPr>
        <w:t>年制订了《</w:t>
      </w:r>
      <w:r>
        <w:rPr>
          <w:rFonts w:hint="eastAsia" w:ascii="仿宋" w:hAnsi="仿宋" w:eastAsia="仿宋" w:cs="仿宋"/>
          <w:sz w:val="32"/>
          <w:szCs w:val="32"/>
        </w:rPr>
        <w:t>土壤调理剂与狼尾草联合修复稀土尾矿技术规程</w:t>
      </w:r>
      <w:r>
        <w:rPr>
          <w:rFonts w:hint="eastAsia" w:eastAsia="仿宋_GB2312"/>
          <w:kern w:val="0"/>
          <w:sz w:val="32"/>
          <w:szCs w:val="32"/>
        </w:rPr>
        <w:t>》，</w:t>
      </w:r>
      <w:bookmarkStart w:id="1" w:name="_Hlk155624846"/>
      <w:r>
        <w:rPr>
          <w:rFonts w:hint="eastAsia" w:eastAsia="仿宋_GB2312"/>
          <w:kern w:val="0"/>
          <w:sz w:val="32"/>
          <w:szCs w:val="32"/>
        </w:rPr>
        <w:t>该标准具有操作简单、方便、劳动强度低、修复时间短，见效快，效果好等优点</w:t>
      </w:r>
      <w:r>
        <w:rPr>
          <w:rFonts w:hint="eastAsia" w:eastAsia="仿宋_GB2312"/>
          <w:kern w:val="0"/>
          <w:sz w:val="32"/>
          <w:szCs w:val="32"/>
          <w:lang w:eastAsia="zh-CN"/>
        </w:rPr>
        <w:t>。</w:t>
      </w:r>
      <w:r>
        <w:rPr>
          <w:rFonts w:hint="eastAsia" w:eastAsia="仿宋_GB2312"/>
          <w:kern w:val="0"/>
          <w:sz w:val="32"/>
          <w:szCs w:val="32"/>
          <w:lang w:val="en-US" w:eastAsia="zh-CN"/>
        </w:rPr>
        <w:t>自2020年发布</w:t>
      </w:r>
      <w:r>
        <w:rPr>
          <w:rFonts w:hint="eastAsia" w:eastAsia="仿宋_GB2312"/>
          <w:kern w:val="0"/>
          <w:sz w:val="32"/>
          <w:szCs w:val="32"/>
        </w:rPr>
        <w:t>以来，</w:t>
      </w:r>
      <w:bookmarkEnd w:id="1"/>
      <w:r>
        <w:rPr>
          <w:rFonts w:hint="eastAsia" w:eastAsia="仿宋_GB2312"/>
          <w:kern w:val="0"/>
          <w:sz w:val="32"/>
          <w:szCs w:val="32"/>
        </w:rPr>
        <w:t>推</w:t>
      </w:r>
      <w:r>
        <w:rPr>
          <w:rFonts w:hint="eastAsia" w:eastAsia="仿宋_GB2312"/>
          <w:kern w:val="0"/>
          <w:sz w:val="32"/>
          <w:szCs w:val="32"/>
          <w:lang w:val="en-US" w:eastAsia="zh-CN"/>
        </w:rPr>
        <w:t>动了</w:t>
      </w:r>
      <w:r>
        <w:rPr>
          <w:rFonts w:hint="eastAsia" w:eastAsia="仿宋_GB2312"/>
          <w:kern w:val="0"/>
          <w:sz w:val="32"/>
          <w:szCs w:val="32"/>
        </w:rPr>
        <w:t>稀土尾矿的改良进程</w:t>
      </w:r>
      <w:r>
        <w:rPr>
          <w:rFonts w:hint="eastAsia" w:eastAsia="仿宋_GB2312"/>
          <w:kern w:val="0"/>
          <w:sz w:val="32"/>
          <w:szCs w:val="32"/>
          <w:lang w:eastAsia="zh-CN"/>
        </w:rPr>
        <w:t>，</w:t>
      </w:r>
      <w:r>
        <w:rPr>
          <w:rFonts w:hint="eastAsia" w:eastAsia="仿宋_GB2312"/>
          <w:kern w:val="0"/>
          <w:sz w:val="32"/>
          <w:szCs w:val="32"/>
        </w:rPr>
        <w:t>促进</w:t>
      </w:r>
      <w:r>
        <w:rPr>
          <w:rFonts w:hint="eastAsia" w:eastAsia="仿宋_GB2312"/>
          <w:kern w:val="0"/>
          <w:sz w:val="32"/>
          <w:szCs w:val="32"/>
          <w:lang w:val="en-US" w:eastAsia="zh-CN"/>
        </w:rPr>
        <w:t>了</w:t>
      </w:r>
      <w:r>
        <w:rPr>
          <w:rFonts w:hint="eastAsia" w:eastAsia="仿宋_GB2312"/>
          <w:kern w:val="0"/>
          <w:sz w:val="32"/>
          <w:szCs w:val="32"/>
        </w:rPr>
        <w:t>矿区及周边农业可持续发展和生态环境建设</w:t>
      </w:r>
      <w:r>
        <w:rPr>
          <w:rFonts w:hint="eastAsia" w:eastAsia="仿宋_GB2312"/>
          <w:kern w:val="0"/>
          <w:sz w:val="32"/>
          <w:szCs w:val="32"/>
          <w:lang w:eastAsia="zh-CN"/>
        </w:rPr>
        <w:t>。</w:t>
      </w:r>
      <w:r>
        <w:rPr>
          <w:rFonts w:hint="eastAsia" w:eastAsia="仿宋_GB2312"/>
          <w:bCs/>
          <w:sz w:val="32"/>
          <w:szCs w:val="32"/>
        </w:rPr>
        <w:t>根据</w:t>
      </w:r>
      <w:r>
        <w:rPr>
          <w:rFonts w:hint="eastAsia" w:eastAsia="仿宋_GB2312"/>
          <w:kern w:val="0"/>
          <w:sz w:val="32"/>
          <w:szCs w:val="32"/>
          <w:lang w:eastAsia="zh-CN"/>
        </w:rPr>
        <w:t>2023年10月20日，江西省市场监督管理局下发的“关于同意修订《低效林改造技术规程》等24项林业地方标准的复函”</w:t>
      </w:r>
      <w:r>
        <w:rPr>
          <w:rFonts w:hint="eastAsia" w:eastAsia="仿宋_GB2312"/>
          <w:kern w:val="0"/>
          <w:sz w:val="32"/>
          <w:szCs w:val="32"/>
          <w:lang w:val="en-US" w:eastAsia="zh-CN"/>
        </w:rPr>
        <w:t>的要求，起草对原地方标准</w:t>
      </w:r>
      <w:r>
        <w:rPr>
          <w:rFonts w:hint="eastAsia" w:ascii="仿宋" w:hAnsi="仿宋" w:eastAsia="仿宋" w:cs="仿宋"/>
          <w:kern w:val="0"/>
          <w:sz w:val="32"/>
          <w:szCs w:val="32"/>
          <w:lang w:val="en-US" w:eastAsia="zh-CN"/>
        </w:rPr>
        <w:t>进行修订，旨在为提升江西省地方标准的质量和水平。</w:t>
      </w:r>
    </w:p>
    <w:p>
      <w:pPr>
        <w:spacing w:line="360" w:lineRule="auto"/>
        <w:ind w:firstLine="627" w:firstLineChars="196"/>
        <w:rPr>
          <w:rFonts w:eastAsia="仿宋_GB2312"/>
          <w:kern w:val="0"/>
          <w:sz w:val="32"/>
          <w:szCs w:val="32"/>
        </w:rPr>
      </w:pPr>
      <w:r>
        <w:rPr>
          <w:rFonts w:eastAsia="黑体"/>
          <w:sz w:val="32"/>
          <w:szCs w:val="32"/>
        </w:rPr>
        <w:t>三、</w:t>
      </w:r>
      <w:r>
        <w:rPr>
          <w:rFonts w:hint="eastAsia" w:eastAsia="黑体"/>
          <w:sz w:val="32"/>
          <w:szCs w:val="32"/>
        </w:rPr>
        <w:t>修订的工作</w:t>
      </w:r>
      <w:r>
        <w:rPr>
          <w:rFonts w:eastAsia="黑体"/>
          <w:sz w:val="32"/>
          <w:szCs w:val="32"/>
        </w:rPr>
        <w:t>过程</w:t>
      </w:r>
    </w:p>
    <w:p>
      <w:pPr>
        <w:autoSpaceDE w:val="0"/>
        <w:autoSpaceDN w:val="0"/>
        <w:adjustRightInd w:val="0"/>
        <w:ind w:firstLine="640" w:firstLineChars="200"/>
        <w:rPr>
          <w:rFonts w:eastAsia="仿宋_GB2312"/>
          <w:kern w:val="0"/>
          <w:sz w:val="32"/>
          <w:szCs w:val="32"/>
        </w:rPr>
      </w:pPr>
      <w:r>
        <w:rPr>
          <w:rFonts w:hint="eastAsia" w:eastAsia="仿宋_GB2312"/>
          <w:kern w:val="0"/>
          <w:sz w:val="32"/>
          <w:szCs w:val="32"/>
        </w:rPr>
        <w:t>针对原标准中存在的技术性</w:t>
      </w:r>
      <w:r>
        <w:rPr>
          <w:rFonts w:hint="eastAsia" w:eastAsia="仿宋_GB2312"/>
          <w:kern w:val="0"/>
          <w:sz w:val="32"/>
          <w:szCs w:val="32"/>
          <w:lang w:val="en-US" w:eastAsia="zh-CN"/>
        </w:rPr>
        <w:t>等</w:t>
      </w:r>
      <w:r>
        <w:rPr>
          <w:rFonts w:hint="eastAsia" w:eastAsia="仿宋_GB2312"/>
          <w:kern w:val="0"/>
          <w:sz w:val="32"/>
          <w:szCs w:val="32"/>
        </w:rPr>
        <w:t>问题，查阅了大量相关资料，并对多年来团队的相关科研成果和</w:t>
      </w:r>
      <w:r>
        <w:rPr>
          <w:rFonts w:hint="eastAsia" w:eastAsia="仿宋_GB2312"/>
          <w:kern w:val="0"/>
          <w:sz w:val="32"/>
          <w:szCs w:val="32"/>
          <w:lang w:val="en-US" w:eastAsia="zh-CN"/>
        </w:rPr>
        <w:t>示范推广经验</w:t>
      </w:r>
      <w:r>
        <w:rPr>
          <w:rFonts w:hint="eastAsia" w:eastAsia="仿宋_GB2312"/>
          <w:kern w:val="0"/>
          <w:sz w:val="32"/>
          <w:szCs w:val="32"/>
        </w:rPr>
        <w:t>进行了科学的总结、梳理和提炼，形成原标准的相关修订初稿，先后征求了省内相关专家意见，汇总专家意见并按照专家意见进行标准的修改，将相关报审材料报送至江西省</w:t>
      </w:r>
      <w:r>
        <w:rPr>
          <w:rFonts w:hint="eastAsia" w:eastAsia="仿宋_GB2312"/>
          <w:kern w:val="0"/>
          <w:sz w:val="32"/>
          <w:szCs w:val="32"/>
          <w:lang w:val="en-US" w:eastAsia="zh-CN"/>
        </w:rPr>
        <w:t>林业局</w:t>
      </w:r>
      <w:r>
        <w:rPr>
          <w:rFonts w:hint="eastAsia" w:eastAsia="仿宋_GB2312"/>
          <w:kern w:val="0"/>
          <w:sz w:val="32"/>
          <w:szCs w:val="32"/>
        </w:rPr>
        <w:t>，由</w:t>
      </w:r>
      <w:r>
        <w:rPr>
          <w:rFonts w:hint="eastAsia" w:eastAsia="仿宋_GB2312"/>
          <w:kern w:val="0"/>
          <w:sz w:val="32"/>
          <w:szCs w:val="32"/>
          <w:lang w:val="en-US" w:eastAsia="zh-CN"/>
        </w:rPr>
        <w:t>省林业局</w:t>
      </w:r>
      <w:r>
        <w:rPr>
          <w:rFonts w:hint="eastAsia" w:eastAsia="仿宋_GB2312"/>
          <w:kern w:val="0"/>
          <w:sz w:val="32"/>
          <w:szCs w:val="32"/>
        </w:rPr>
        <w:t>提交至江西省市场监督管理局标准化研究院。</w:t>
      </w:r>
    </w:p>
    <w:p>
      <w:pPr>
        <w:numPr>
          <w:ilvl w:val="0"/>
          <w:numId w:val="1"/>
        </w:numPr>
        <w:autoSpaceDE w:val="0"/>
        <w:autoSpaceDN w:val="0"/>
        <w:adjustRightInd w:val="0"/>
        <w:ind w:firstLine="640"/>
        <w:rPr>
          <w:rFonts w:eastAsia="黑体"/>
          <w:sz w:val="32"/>
          <w:szCs w:val="32"/>
        </w:rPr>
      </w:pPr>
      <w:r>
        <w:rPr>
          <w:rFonts w:eastAsia="黑体"/>
          <w:sz w:val="32"/>
          <w:szCs w:val="32"/>
        </w:rPr>
        <w:t>修订标准的原则和依据，与现行法律、法规、标准的关系</w:t>
      </w:r>
    </w:p>
    <w:p>
      <w:pPr>
        <w:spacing w:line="360" w:lineRule="auto"/>
        <w:ind w:firstLine="640" w:firstLineChars="200"/>
        <w:rPr>
          <w:rFonts w:eastAsia="仿宋_GB2312"/>
          <w:kern w:val="0"/>
          <w:sz w:val="32"/>
          <w:szCs w:val="32"/>
          <w:lang w:val="zh-CN"/>
        </w:rPr>
      </w:pPr>
      <w:r>
        <w:rPr>
          <w:rFonts w:eastAsia="仿宋_GB2312"/>
          <w:kern w:val="0"/>
          <w:sz w:val="32"/>
          <w:szCs w:val="32"/>
        </w:rPr>
        <w:t>本标准修订的原则</w:t>
      </w:r>
      <w:r>
        <w:rPr>
          <w:rFonts w:hint="eastAsia" w:eastAsia="仿宋_GB2312"/>
          <w:kern w:val="0"/>
          <w:sz w:val="32"/>
          <w:szCs w:val="32"/>
        </w:rPr>
        <w:t>：</w:t>
      </w:r>
      <w:r>
        <w:rPr>
          <w:rFonts w:eastAsia="仿宋_GB2312"/>
          <w:kern w:val="0"/>
          <w:sz w:val="32"/>
          <w:szCs w:val="32"/>
        </w:rPr>
        <w:t>一是科学性原则，在</w:t>
      </w:r>
      <w:r>
        <w:rPr>
          <w:rFonts w:hint="eastAsia" w:eastAsia="仿宋_GB2312"/>
          <w:kern w:val="0"/>
          <w:sz w:val="32"/>
          <w:szCs w:val="32"/>
        </w:rPr>
        <w:t>多年</w:t>
      </w:r>
      <w:r>
        <w:rPr>
          <w:rFonts w:eastAsia="仿宋_GB2312"/>
          <w:kern w:val="0"/>
          <w:sz w:val="32"/>
          <w:szCs w:val="32"/>
        </w:rPr>
        <w:t>的试验研究基础和较丰富的</w:t>
      </w:r>
      <w:r>
        <w:rPr>
          <w:rFonts w:hint="eastAsia" w:eastAsia="仿宋_GB2312"/>
          <w:kern w:val="0"/>
          <w:sz w:val="32"/>
          <w:szCs w:val="32"/>
        </w:rPr>
        <w:t>试验</w:t>
      </w:r>
      <w:r>
        <w:rPr>
          <w:rFonts w:eastAsia="仿宋_GB2312"/>
          <w:kern w:val="0"/>
          <w:sz w:val="32"/>
          <w:szCs w:val="32"/>
        </w:rPr>
        <w:t>示范实践基础上编制本标准；二是实用性原则，所有标准数据能够被接受，在生产和科学研究中具有实用性。</w:t>
      </w:r>
      <w:r>
        <w:rPr>
          <w:rFonts w:hint="eastAsia" w:eastAsia="仿宋_GB2312"/>
          <w:kern w:val="0"/>
          <w:sz w:val="32"/>
          <w:szCs w:val="32"/>
          <w:lang w:val="en-US" w:eastAsia="zh-CN"/>
        </w:rPr>
        <w:t>三是</w:t>
      </w:r>
      <w:r>
        <w:rPr>
          <w:rFonts w:eastAsia="仿宋_GB2312"/>
          <w:kern w:val="0"/>
          <w:sz w:val="32"/>
          <w:szCs w:val="32"/>
          <w:lang w:val="zh-CN"/>
        </w:rPr>
        <w:t>本标准与现行</w:t>
      </w:r>
      <w:r>
        <w:rPr>
          <w:rFonts w:hint="eastAsia" w:eastAsia="仿宋_GB2312"/>
          <w:kern w:val="0"/>
          <w:sz w:val="32"/>
          <w:szCs w:val="32"/>
          <w:lang w:val="zh-CN"/>
        </w:rPr>
        <w:t>法律、法规和相关标准</w:t>
      </w:r>
      <w:r>
        <w:rPr>
          <w:rFonts w:eastAsia="仿宋_GB2312"/>
          <w:kern w:val="0"/>
          <w:sz w:val="32"/>
          <w:szCs w:val="32"/>
          <w:lang w:val="zh-CN"/>
        </w:rPr>
        <w:t>不违背或不冲突。</w:t>
      </w:r>
    </w:p>
    <w:p>
      <w:pPr>
        <w:autoSpaceDE w:val="0"/>
        <w:autoSpaceDN w:val="0"/>
        <w:adjustRightInd w:val="0"/>
        <w:ind w:firstLine="640" w:firstLineChars="200"/>
        <w:rPr>
          <w:rFonts w:eastAsia="仿宋_GB2312"/>
          <w:sz w:val="28"/>
          <w:szCs w:val="28"/>
        </w:rPr>
      </w:pPr>
      <w:r>
        <w:rPr>
          <w:rFonts w:hint="eastAsia" w:eastAsia="黑体"/>
          <w:sz w:val="32"/>
          <w:szCs w:val="32"/>
        </w:rPr>
        <w:t>五</w:t>
      </w:r>
      <w:r>
        <w:rPr>
          <w:rFonts w:eastAsia="黑体"/>
          <w:sz w:val="32"/>
          <w:szCs w:val="32"/>
        </w:rPr>
        <w:t>、</w:t>
      </w:r>
      <w:r>
        <w:rPr>
          <w:rFonts w:hint="eastAsia" w:eastAsia="黑体"/>
          <w:sz w:val="32"/>
          <w:szCs w:val="32"/>
        </w:rPr>
        <w:t>修订的主要内容说明</w:t>
      </w:r>
    </w:p>
    <w:p>
      <w:pPr>
        <w:widowControl/>
        <w:ind w:firstLine="640" w:firstLineChars="200"/>
        <w:jc w:val="left"/>
        <w:rPr>
          <w:rFonts w:hint="eastAsia" w:eastAsia="仿宋_GB2312"/>
          <w:kern w:val="0"/>
          <w:sz w:val="32"/>
          <w:szCs w:val="32"/>
        </w:rPr>
      </w:pPr>
      <w:r>
        <w:rPr>
          <w:rFonts w:hint="eastAsia" w:eastAsia="仿宋_GB2312"/>
          <w:kern w:val="0"/>
          <w:sz w:val="32"/>
          <w:szCs w:val="32"/>
        </w:rPr>
        <w:t>主要修订内容如下：</w:t>
      </w:r>
    </w:p>
    <w:p>
      <w:pPr>
        <w:widowControl/>
        <w:tabs>
          <w:tab w:val="center" w:pos="4201"/>
          <w:tab w:val="right" w:leader="dot" w:pos="9298"/>
        </w:tabs>
        <w:autoSpaceDE w:val="0"/>
        <w:autoSpaceDN w:val="0"/>
        <w:ind w:firstLine="640" w:firstLineChars="200"/>
        <w:jc w:val="left"/>
        <w:rPr>
          <w:rFonts w:hint="eastAsia" w:ascii="仿宋" w:hAnsi="仿宋" w:eastAsia="仿宋" w:cs="仿宋"/>
          <w:kern w:val="0"/>
          <w:sz w:val="32"/>
          <w:szCs w:val="32"/>
          <w:lang w:val="en-US" w:eastAsia="zh-CN"/>
        </w:rPr>
      </w:pPr>
      <w:r>
        <w:rPr>
          <w:rFonts w:hint="eastAsia" w:ascii="仿宋" w:hAnsi="仿宋" w:eastAsia="仿宋" w:cs="仿宋"/>
          <w:kern w:val="0"/>
          <w:sz w:val="32"/>
          <w:szCs w:val="32"/>
          <w:lang w:val="en-US" w:eastAsia="zh-CN"/>
        </w:rPr>
        <w:t>a.修改了标准名称；</w:t>
      </w:r>
    </w:p>
    <w:p>
      <w:pPr>
        <w:widowControl/>
        <w:tabs>
          <w:tab w:val="center" w:pos="4201"/>
          <w:tab w:val="right" w:leader="dot" w:pos="9298"/>
        </w:tabs>
        <w:autoSpaceDE w:val="0"/>
        <w:autoSpaceDN w:val="0"/>
        <w:ind w:firstLine="640" w:firstLineChars="200"/>
        <w:jc w:val="left"/>
        <w:rPr>
          <w:rFonts w:hint="eastAsia" w:ascii="仿宋" w:hAnsi="仿宋" w:eastAsia="仿宋" w:cs="仿宋"/>
          <w:kern w:val="0"/>
          <w:sz w:val="32"/>
          <w:szCs w:val="32"/>
          <w:lang w:val="en-US" w:eastAsia="zh-CN"/>
        </w:rPr>
      </w:pPr>
      <w:r>
        <w:rPr>
          <w:rFonts w:hint="eastAsia" w:ascii="仿宋" w:hAnsi="仿宋" w:eastAsia="仿宋" w:cs="仿宋"/>
          <w:kern w:val="0"/>
          <w:sz w:val="32"/>
          <w:szCs w:val="32"/>
          <w:lang w:val="en-US" w:eastAsia="zh-CN"/>
        </w:rPr>
        <w:t>b.修改了技术归口单位；</w:t>
      </w:r>
    </w:p>
    <w:p>
      <w:pPr>
        <w:widowControl/>
        <w:tabs>
          <w:tab w:val="center" w:pos="4201"/>
          <w:tab w:val="right" w:leader="dot" w:pos="9298"/>
        </w:tabs>
        <w:autoSpaceDE w:val="0"/>
        <w:autoSpaceDN w:val="0"/>
        <w:ind w:firstLine="640" w:firstLineChars="200"/>
        <w:jc w:val="left"/>
        <w:rPr>
          <w:rFonts w:hint="eastAsia" w:ascii="仿宋" w:hAnsi="仿宋" w:eastAsia="仿宋" w:cs="仿宋"/>
          <w:kern w:val="0"/>
          <w:sz w:val="32"/>
          <w:szCs w:val="32"/>
          <w:lang w:val="en-US" w:eastAsia="zh-CN"/>
        </w:rPr>
      </w:pPr>
      <w:r>
        <w:rPr>
          <w:rFonts w:hint="eastAsia" w:ascii="仿宋" w:hAnsi="仿宋" w:eastAsia="仿宋" w:cs="仿宋"/>
          <w:kern w:val="0"/>
          <w:sz w:val="32"/>
          <w:szCs w:val="32"/>
          <w:lang w:val="en-US" w:eastAsia="zh-CN"/>
        </w:rPr>
        <w:t>c.修改了范围中的内容（见1）；</w:t>
      </w:r>
    </w:p>
    <w:p>
      <w:pPr>
        <w:widowControl/>
        <w:tabs>
          <w:tab w:val="center" w:pos="4201"/>
          <w:tab w:val="right" w:leader="dot" w:pos="9298"/>
        </w:tabs>
        <w:autoSpaceDE w:val="0"/>
        <w:autoSpaceDN w:val="0"/>
        <w:ind w:firstLine="640" w:firstLineChars="200"/>
        <w:jc w:val="left"/>
        <w:rPr>
          <w:rFonts w:hint="eastAsia" w:ascii="仿宋" w:hAnsi="仿宋" w:eastAsia="仿宋" w:cs="仿宋"/>
          <w:kern w:val="0"/>
          <w:sz w:val="32"/>
          <w:szCs w:val="32"/>
          <w:lang w:val="en-US" w:eastAsia="zh-CN"/>
        </w:rPr>
      </w:pPr>
      <w:r>
        <w:rPr>
          <w:rFonts w:hint="eastAsia" w:ascii="仿宋" w:hAnsi="仿宋" w:eastAsia="仿宋" w:cs="仿宋"/>
          <w:kern w:val="0"/>
          <w:sz w:val="32"/>
          <w:szCs w:val="32"/>
          <w:lang w:val="en-US" w:eastAsia="zh-CN"/>
        </w:rPr>
        <w:t>d.完善了“狼尾草”的定义；增加了“复绿”、“尾砂土壤”的术语和定义（见3.2、3.3、3.4）；</w:t>
      </w:r>
    </w:p>
    <w:p>
      <w:pPr>
        <w:widowControl/>
        <w:tabs>
          <w:tab w:val="center" w:pos="4201"/>
          <w:tab w:val="right" w:leader="dot" w:pos="9298"/>
        </w:tabs>
        <w:autoSpaceDE w:val="0"/>
        <w:autoSpaceDN w:val="0"/>
        <w:ind w:firstLine="640" w:firstLineChars="200"/>
        <w:jc w:val="left"/>
        <w:rPr>
          <w:rFonts w:hint="eastAsia" w:ascii="仿宋" w:hAnsi="仿宋" w:eastAsia="仿宋" w:cs="仿宋"/>
          <w:kern w:val="0"/>
          <w:sz w:val="32"/>
          <w:szCs w:val="32"/>
          <w:lang w:val="en-US" w:eastAsia="zh-CN"/>
        </w:rPr>
      </w:pPr>
      <w:r>
        <w:rPr>
          <w:rFonts w:hint="eastAsia" w:ascii="仿宋" w:hAnsi="仿宋" w:eastAsia="仿宋" w:cs="仿宋"/>
          <w:kern w:val="0"/>
          <w:sz w:val="32"/>
          <w:szCs w:val="32"/>
          <w:lang w:val="en-US" w:eastAsia="zh-CN"/>
        </w:rPr>
        <w:t>e.调整了第4章节标题与内容（见4）；</w:t>
      </w:r>
    </w:p>
    <w:p>
      <w:pPr>
        <w:widowControl/>
        <w:tabs>
          <w:tab w:val="center" w:pos="4201"/>
          <w:tab w:val="right" w:leader="dot" w:pos="9298"/>
        </w:tabs>
        <w:autoSpaceDE w:val="0"/>
        <w:autoSpaceDN w:val="0"/>
        <w:ind w:firstLine="640" w:firstLineChars="200"/>
        <w:jc w:val="left"/>
        <w:rPr>
          <w:rFonts w:hint="eastAsia" w:ascii="仿宋" w:hAnsi="仿宋" w:eastAsia="仿宋" w:cs="仿宋"/>
          <w:kern w:val="0"/>
          <w:sz w:val="32"/>
          <w:szCs w:val="32"/>
          <w:lang w:val="en-US" w:eastAsia="zh-CN"/>
        </w:rPr>
      </w:pPr>
      <w:r>
        <w:rPr>
          <w:rFonts w:hint="eastAsia" w:ascii="仿宋" w:hAnsi="仿宋" w:eastAsia="仿宋" w:cs="仿宋"/>
          <w:kern w:val="0"/>
          <w:sz w:val="32"/>
          <w:szCs w:val="32"/>
          <w:lang w:val="en-US" w:eastAsia="zh-CN"/>
        </w:rPr>
        <w:t>f.修改了4.1节标题；修改了4.1.1节标题与内容；原4.1.2节调整为4.1.2和4.1.3节，原4.1.3节调整为4.1.4节；</w:t>
      </w:r>
    </w:p>
    <w:p>
      <w:pPr>
        <w:widowControl/>
        <w:tabs>
          <w:tab w:val="center" w:pos="4201"/>
          <w:tab w:val="right" w:leader="dot" w:pos="9298"/>
        </w:tabs>
        <w:autoSpaceDE w:val="0"/>
        <w:autoSpaceDN w:val="0"/>
        <w:ind w:firstLine="640" w:firstLineChars="200"/>
        <w:jc w:val="left"/>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g.增加了狼尾草播种方法，将“</w:t>
      </w:r>
      <w:r>
        <w:rPr>
          <w:rFonts w:hint="eastAsia" w:ascii="仿宋" w:hAnsi="仿宋" w:eastAsia="仿宋" w:cs="仿宋"/>
          <w:kern w:val="0"/>
          <w:sz w:val="32"/>
          <w:szCs w:val="32"/>
        </w:rPr>
        <w:t>撒播</w:t>
      </w:r>
      <w:r>
        <w:rPr>
          <w:rFonts w:hint="eastAsia" w:ascii="仿宋" w:hAnsi="仿宋" w:eastAsia="仿宋" w:cs="仿宋"/>
          <w:sz w:val="32"/>
          <w:szCs w:val="32"/>
          <w:lang w:val="en-US" w:eastAsia="zh-CN"/>
        </w:rPr>
        <w:t>”修改</w:t>
      </w:r>
      <w:r>
        <w:rPr>
          <w:rFonts w:hint="eastAsia" w:ascii="仿宋" w:hAnsi="仿宋" w:eastAsia="仿宋" w:cs="仿宋"/>
          <w:kern w:val="0"/>
          <w:sz w:val="32"/>
          <w:szCs w:val="32"/>
          <w:lang w:val="en-US" w:eastAsia="zh-CN"/>
        </w:rPr>
        <w:t>为“</w:t>
      </w:r>
      <w:r>
        <w:rPr>
          <w:rFonts w:hint="eastAsia" w:ascii="仿宋" w:hAnsi="仿宋" w:eastAsia="仿宋" w:cs="仿宋"/>
          <w:kern w:val="0"/>
          <w:sz w:val="32"/>
          <w:szCs w:val="32"/>
        </w:rPr>
        <w:t>撒播</w:t>
      </w:r>
      <w:r>
        <w:rPr>
          <w:rFonts w:hint="eastAsia" w:ascii="仿宋" w:hAnsi="仿宋" w:eastAsia="仿宋" w:cs="仿宋"/>
          <w:kern w:val="0"/>
          <w:sz w:val="32"/>
          <w:szCs w:val="32"/>
          <w:lang w:val="en-US" w:eastAsia="zh-CN"/>
        </w:rPr>
        <w:t>或条播</w:t>
      </w:r>
      <w:r>
        <w:rPr>
          <w:rFonts w:hint="default" w:ascii="仿宋" w:hAnsi="仿宋" w:eastAsia="仿宋" w:cs="仿宋"/>
          <w:kern w:val="0"/>
          <w:sz w:val="32"/>
          <w:szCs w:val="32"/>
          <w:lang w:val="en-US" w:eastAsia="zh-CN"/>
        </w:rPr>
        <w:t>”</w:t>
      </w:r>
      <w:r>
        <w:rPr>
          <w:rFonts w:hint="eastAsia" w:ascii="仿宋" w:hAnsi="仿宋" w:eastAsia="仿宋" w:cs="仿宋"/>
          <w:sz w:val="32"/>
          <w:szCs w:val="32"/>
          <w:lang w:val="en-US" w:eastAsia="zh-CN"/>
        </w:rPr>
        <w:t>（见</w:t>
      </w:r>
      <w:r>
        <w:rPr>
          <w:rFonts w:hint="eastAsia" w:ascii="仿宋" w:hAnsi="仿宋" w:eastAsia="仿宋" w:cs="仿宋"/>
          <w:sz w:val="32"/>
          <w:szCs w:val="32"/>
        </w:rPr>
        <w:t>4.2.2.4</w:t>
      </w:r>
      <w:r>
        <w:rPr>
          <w:rFonts w:hint="eastAsia" w:ascii="仿宋" w:hAnsi="仿宋" w:eastAsia="仿宋" w:cs="仿宋"/>
          <w:sz w:val="32"/>
          <w:szCs w:val="32"/>
          <w:lang w:val="en-US" w:eastAsia="zh-CN"/>
        </w:rPr>
        <w:t>）；</w:t>
      </w:r>
    </w:p>
    <w:p>
      <w:pPr>
        <w:widowControl/>
        <w:tabs>
          <w:tab w:val="center" w:pos="4201"/>
          <w:tab w:val="right" w:leader="dot" w:pos="9298"/>
        </w:tabs>
        <w:autoSpaceDE w:val="0"/>
        <w:autoSpaceDN w:val="0"/>
        <w:ind w:firstLine="640" w:firstLineChars="200"/>
        <w:jc w:val="left"/>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h.补充了播后管理内容（见4.2.3）；</w:t>
      </w:r>
    </w:p>
    <w:p>
      <w:pPr>
        <w:autoSpaceDE w:val="0"/>
        <w:autoSpaceDN w:val="0"/>
        <w:adjustRightInd w:val="0"/>
        <w:ind w:firstLine="640" w:firstLineChars="200"/>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i.修改了第5章标题与内容（见5）。</w:t>
      </w:r>
    </w:p>
    <w:p>
      <w:pPr>
        <w:autoSpaceDE w:val="0"/>
        <w:autoSpaceDN w:val="0"/>
        <w:adjustRightInd w:val="0"/>
        <w:ind w:firstLine="640" w:firstLineChars="200"/>
        <w:rPr>
          <w:rFonts w:eastAsia="仿宋_GB2312"/>
          <w:sz w:val="28"/>
          <w:szCs w:val="28"/>
        </w:rPr>
      </w:pPr>
      <w:r>
        <w:rPr>
          <w:rFonts w:hint="eastAsia" w:eastAsia="黑体"/>
          <w:sz w:val="32"/>
          <w:szCs w:val="32"/>
        </w:rPr>
        <w:t>六</w:t>
      </w:r>
      <w:r>
        <w:rPr>
          <w:rFonts w:eastAsia="黑体"/>
          <w:sz w:val="32"/>
          <w:szCs w:val="32"/>
        </w:rPr>
        <w:t>、</w:t>
      </w:r>
      <w:r>
        <w:rPr>
          <w:rFonts w:hint="eastAsia" w:eastAsia="黑体"/>
          <w:sz w:val="32"/>
          <w:szCs w:val="32"/>
        </w:rPr>
        <w:t>重大意见分歧的处理依据与结果</w:t>
      </w:r>
    </w:p>
    <w:p>
      <w:pPr>
        <w:ind w:firstLine="640" w:firstLineChars="200"/>
        <w:rPr>
          <w:rFonts w:hint="eastAsia" w:ascii="仿宋" w:hAnsi="仿宋" w:eastAsia="仿宋"/>
          <w:sz w:val="32"/>
          <w:szCs w:val="36"/>
        </w:rPr>
      </w:pPr>
      <w:r>
        <w:rPr>
          <w:rFonts w:hint="eastAsia" w:ascii="仿宋" w:hAnsi="仿宋" w:eastAsia="仿宋"/>
          <w:sz w:val="32"/>
          <w:szCs w:val="36"/>
        </w:rPr>
        <w:t>本标准文本前期呈</w:t>
      </w:r>
      <w:r>
        <w:rPr>
          <w:rFonts w:hint="eastAsia" w:ascii="仿宋" w:hAnsi="仿宋" w:eastAsia="仿宋"/>
          <w:color w:val="auto"/>
          <w:sz w:val="32"/>
          <w:szCs w:val="36"/>
        </w:rPr>
        <w:t>送</w:t>
      </w:r>
      <w:r>
        <w:rPr>
          <w:rFonts w:hint="eastAsia" w:ascii="仿宋" w:hAnsi="仿宋" w:eastAsia="仿宋" w:cs="仿宋"/>
          <w:sz w:val="32"/>
          <w:szCs w:val="32"/>
        </w:rPr>
        <w:t>江西省红壤及种质资源研究所</w:t>
      </w:r>
      <w:r>
        <w:rPr>
          <w:rFonts w:hint="eastAsia" w:ascii="仿宋" w:hAnsi="仿宋" w:eastAsia="仿宋"/>
          <w:color w:val="0000FF"/>
          <w:sz w:val="32"/>
          <w:szCs w:val="32"/>
        </w:rPr>
        <w:t>、</w:t>
      </w:r>
      <w:r>
        <w:rPr>
          <w:rFonts w:hint="eastAsia" w:ascii="仿宋" w:hAnsi="仿宋" w:eastAsia="仿宋" w:cs="仿宋"/>
          <w:sz w:val="32"/>
          <w:szCs w:val="32"/>
        </w:rPr>
        <w:t>江西有色地质矿产勘查开发院</w:t>
      </w:r>
      <w:r>
        <w:rPr>
          <w:rFonts w:hint="eastAsia" w:ascii="仿宋" w:hAnsi="仿宋" w:eastAsia="仿宋"/>
          <w:color w:val="0000FF"/>
          <w:sz w:val="32"/>
          <w:szCs w:val="32"/>
          <w:lang w:eastAsia="zh-CN"/>
        </w:rPr>
        <w:t>、</w:t>
      </w:r>
      <w:r>
        <w:rPr>
          <w:rFonts w:hint="eastAsia" w:ascii="仿宋" w:hAnsi="仿宋" w:eastAsia="仿宋"/>
          <w:color w:val="auto"/>
          <w:sz w:val="32"/>
          <w:szCs w:val="32"/>
          <w:lang w:val="en-US" w:eastAsia="zh-CN"/>
        </w:rPr>
        <w:t>江西省农业科学院、江西省科学院、江西省</w:t>
      </w:r>
      <w:r>
        <w:rPr>
          <w:rFonts w:hint="eastAsia" w:ascii="仿宋" w:hAnsi="仿宋" w:eastAsia="仿宋" w:cs="仿宋"/>
          <w:sz w:val="32"/>
          <w:szCs w:val="32"/>
          <w:lang w:val="en-US" w:eastAsia="zh-CN"/>
        </w:rPr>
        <w:t>水利科学院</w:t>
      </w:r>
      <w:r>
        <w:rPr>
          <w:rFonts w:hint="eastAsia" w:ascii="仿宋" w:hAnsi="仿宋" w:eastAsia="仿宋"/>
          <w:color w:val="auto"/>
          <w:sz w:val="32"/>
          <w:szCs w:val="32"/>
          <w:lang w:val="en-US" w:eastAsia="zh-CN"/>
        </w:rPr>
        <w:t>和河南农业大学</w:t>
      </w:r>
      <w:r>
        <w:rPr>
          <w:rFonts w:hint="eastAsia" w:ascii="仿宋" w:hAnsi="仿宋" w:eastAsia="仿宋"/>
          <w:sz w:val="32"/>
          <w:szCs w:val="36"/>
        </w:rPr>
        <w:t>等</w:t>
      </w:r>
      <w:r>
        <w:rPr>
          <w:rFonts w:hint="eastAsia" w:ascii="仿宋" w:hAnsi="仿宋" w:eastAsia="仿宋"/>
          <w:sz w:val="32"/>
          <w:szCs w:val="36"/>
          <w:lang w:val="en-US" w:eastAsia="zh-CN"/>
        </w:rPr>
        <w:t>6</w:t>
      </w:r>
      <w:r>
        <w:rPr>
          <w:rFonts w:hint="eastAsia" w:ascii="仿宋" w:hAnsi="仿宋" w:eastAsia="仿宋"/>
          <w:sz w:val="32"/>
          <w:szCs w:val="36"/>
        </w:rPr>
        <w:t>家单位，征求相关专家意见，未有重大意见分歧。专家对文件部分章节内容提出了修改意见，起草小组按照专家意见对文本进行了修改、补充和完善。</w:t>
      </w:r>
    </w:p>
    <w:p>
      <w:pPr>
        <w:spacing w:line="360" w:lineRule="auto"/>
        <w:ind w:firstLine="640" w:firstLineChars="200"/>
        <w:rPr>
          <w:rFonts w:eastAsia="黑体"/>
          <w:sz w:val="32"/>
          <w:szCs w:val="32"/>
        </w:rPr>
      </w:pPr>
      <w:r>
        <w:rPr>
          <w:rFonts w:hint="eastAsia" w:eastAsia="黑体"/>
          <w:sz w:val="32"/>
          <w:szCs w:val="32"/>
        </w:rPr>
        <w:t>七</w:t>
      </w:r>
      <w:r>
        <w:rPr>
          <w:rFonts w:eastAsia="黑体"/>
          <w:sz w:val="32"/>
          <w:szCs w:val="32"/>
        </w:rPr>
        <w:t>、</w:t>
      </w:r>
      <w:r>
        <w:rPr>
          <w:rFonts w:hint="eastAsia" w:eastAsia="黑体"/>
          <w:sz w:val="32"/>
          <w:szCs w:val="32"/>
        </w:rPr>
        <w:t>贯彻标准的措施建议</w:t>
      </w:r>
    </w:p>
    <w:p>
      <w:pPr>
        <w:widowControl/>
        <w:ind w:firstLine="640" w:firstLineChars="200"/>
        <w:rPr>
          <w:rFonts w:hint="eastAsia" w:ascii="仿宋_GB2312" w:hAnsi="宋体" w:eastAsia="仿宋_GB2312"/>
          <w:sz w:val="32"/>
          <w:szCs w:val="32"/>
        </w:rPr>
      </w:pPr>
      <w:r>
        <w:rPr>
          <w:rFonts w:eastAsia="仿宋_GB2312"/>
          <w:kern w:val="0"/>
          <w:sz w:val="32"/>
          <w:szCs w:val="32"/>
          <w:lang w:val="zh-CN"/>
        </w:rPr>
        <w:t>本标准</w:t>
      </w:r>
      <w:r>
        <w:rPr>
          <w:rFonts w:hint="eastAsia" w:eastAsia="仿宋_GB2312"/>
          <w:kern w:val="0"/>
          <w:sz w:val="32"/>
          <w:szCs w:val="32"/>
          <w:lang w:val="zh-CN"/>
        </w:rPr>
        <w:t>发布后，建议江西省市场监督管理局会同江西省农业农村厅和起草单位联合进行标准的宣传和实施。同时，建议通过江西农业信息网和江西省农业农村厅网站</w:t>
      </w:r>
      <w:r>
        <w:rPr>
          <w:rFonts w:hint="eastAsia" w:eastAsia="仿宋_GB2312"/>
          <w:kern w:val="0"/>
          <w:sz w:val="32"/>
          <w:szCs w:val="32"/>
          <w:lang w:val="en-US" w:eastAsia="zh-CN"/>
        </w:rPr>
        <w:t>等</w:t>
      </w:r>
      <w:r>
        <w:rPr>
          <w:rFonts w:hint="eastAsia" w:eastAsia="仿宋_GB2312"/>
          <w:kern w:val="0"/>
          <w:sz w:val="32"/>
          <w:szCs w:val="32"/>
          <w:lang w:val="zh-CN"/>
        </w:rPr>
        <w:t>网站进行广泛宣传。</w:t>
      </w:r>
      <w:r>
        <w:rPr>
          <w:rFonts w:hint="eastAsia" w:ascii="仿宋_GB2312" w:hAnsi="宋体" w:eastAsia="仿宋_GB2312"/>
          <w:sz w:val="32"/>
          <w:szCs w:val="32"/>
        </w:rPr>
        <w:t xml:space="preserve"> </w:t>
      </w:r>
    </w:p>
    <w:p>
      <w:pPr>
        <w:spacing w:line="360" w:lineRule="auto"/>
        <w:jc w:val="center"/>
      </w:pPr>
    </w:p>
    <w:p>
      <w:pPr>
        <w:spacing w:line="360" w:lineRule="auto"/>
        <w:jc w:val="center"/>
        <w:rPr>
          <w:rFonts w:hint="default"/>
          <w:lang w:val="en-US" w:eastAsia="zh-CN"/>
        </w:rPr>
      </w:pPr>
    </w:p>
    <w:p>
      <w:pPr>
        <w:spacing w:line="360" w:lineRule="auto"/>
        <w:jc w:val="center"/>
        <w:rPr>
          <w:rFonts w:hint="eastAsia"/>
          <w:b/>
          <w:bCs/>
          <w:lang w:val="en-US" w:eastAsia="zh-CN"/>
        </w:rPr>
      </w:pPr>
      <w:r>
        <w:drawing>
          <wp:inline distT="0" distB="0" distL="114300" distR="114300">
            <wp:extent cx="5260975" cy="3756660"/>
            <wp:effectExtent l="0" t="0" r="9525"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4"/>
                    <a:stretch>
                      <a:fillRect/>
                    </a:stretch>
                  </pic:blipFill>
                  <pic:spPr>
                    <a:xfrm>
                      <a:off x="0" y="0"/>
                      <a:ext cx="5260975" cy="3756660"/>
                    </a:xfrm>
                    <a:prstGeom prst="rect">
                      <a:avLst/>
                    </a:prstGeom>
                    <a:noFill/>
                    <a:ln>
                      <a:noFill/>
                    </a:ln>
                  </pic:spPr>
                </pic:pic>
              </a:graphicData>
            </a:graphic>
          </wp:inline>
        </w:drawing>
      </w:r>
      <w:r>
        <w:rPr>
          <w:rFonts w:hint="eastAsia"/>
          <w:b/>
          <w:bCs/>
          <w:lang w:val="en-US" w:eastAsia="zh-CN"/>
        </w:rPr>
        <w:t>图1.示范效果</w:t>
      </w:r>
    </w:p>
    <w:p>
      <w:pPr>
        <w:spacing w:line="360" w:lineRule="auto"/>
        <w:jc w:val="center"/>
        <w:rPr>
          <w:rFonts w:hint="eastAsia"/>
          <w:b/>
          <w:bCs/>
          <w:lang w:val="en-US" w:eastAsia="zh-CN"/>
        </w:rPr>
      </w:pPr>
    </w:p>
    <w:p>
      <w:pPr>
        <w:spacing w:line="360" w:lineRule="auto"/>
        <w:jc w:val="center"/>
        <w:rPr>
          <w:rFonts w:hint="eastAsia"/>
          <w:b/>
          <w:bCs/>
          <w:lang w:val="en-US" w:eastAsia="zh-CN"/>
        </w:rPr>
      </w:pPr>
    </w:p>
    <w:p>
      <w:pPr>
        <w:spacing w:line="360" w:lineRule="auto"/>
        <w:jc w:val="center"/>
        <w:rPr>
          <w:rFonts w:hint="eastAsia"/>
          <w:b/>
          <w:bCs/>
          <w:lang w:val="en-US" w:eastAsia="zh-CN"/>
        </w:rPr>
      </w:pPr>
    </w:p>
    <w:p>
      <w:pPr>
        <w:spacing w:line="360" w:lineRule="auto"/>
        <w:jc w:val="right"/>
        <w:rPr>
          <w:rFonts w:hint="eastAsia" w:ascii="仿宋_GB2312" w:hAnsi="宋体" w:eastAsia="仿宋_GB2312"/>
          <w:sz w:val="32"/>
          <w:szCs w:val="32"/>
        </w:rPr>
      </w:pPr>
      <w:r>
        <w:rPr>
          <w:rFonts w:hint="eastAsia" w:ascii="仿宋_GB2312" w:hAnsi="宋体" w:eastAsia="仿宋_GB2312"/>
          <w:sz w:val="32"/>
          <w:szCs w:val="32"/>
        </w:rPr>
        <w:t>《</w:t>
      </w:r>
      <w:r>
        <w:rPr>
          <w:rFonts w:hint="eastAsia" w:eastAsia="仿宋_GB2312"/>
          <w:bCs/>
          <w:sz w:val="32"/>
          <w:szCs w:val="32"/>
          <w:lang w:val="en-US" w:eastAsia="zh-CN"/>
        </w:rPr>
        <w:t>废弃矿山复绿技术规程</w:t>
      </w:r>
      <w:r>
        <w:rPr>
          <w:rFonts w:hint="eastAsia" w:ascii="仿宋_GB2312" w:hAnsi="宋体" w:eastAsia="仿宋_GB2312"/>
          <w:sz w:val="32"/>
          <w:szCs w:val="32"/>
        </w:rPr>
        <w:t>》标准</w:t>
      </w:r>
      <w:r>
        <w:rPr>
          <w:rFonts w:hint="eastAsia" w:ascii="仿宋_GB2312" w:hAnsi="宋体" w:eastAsia="仿宋_GB2312"/>
          <w:sz w:val="32"/>
          <w:szCs w:val="32"/>
          <w:lang w:val="en-US" w:eastAsia="zh-CN"/>
        </w:rPr>
        <w:t>修订</w:t>
      </w:r>
      <w:r>
        <w:rPr>
          <w:rFonts w:hint="eastAsia" w:ascii="仿宋_GB2312" w:hAnsi="宋体" w:eastAsia="仿宋_GB2312"/>
          <w:sz w:val="32"/>
          <w:szCs w:val="32"/>
        </w:rPr>
        <w:t>小组</w:t>
      </w:r>
    </w:p>
    <w:p>
      <w:pPr>
        <w:spacing w:line="360" w:lineRule="auto"/>
        <w:jc w:val="right"/>
        <w:rPr>
          <w:rFonts w:hint="default" w:ascii="仿宋_GB2312" w:hAnsi="宋体" w:eastAsia="仿宋_GB2312"/>
          <w:sz w:val="32"/>
          <w:szCs w:val="32"/>
          <w:lang w:val="en-US" w:eastAsia="zh-CN"/>
        </w:rPr>
      </w:pPr>
      <w:r>
        <w:rPr>
          <w:rFonts w:hint="eastAsia" w:ascii="仿宋_GB2312" w:hAnsi="宋体" w:eastAsia="仿宋_GB2312"/>
          <w:sz w:val="32"/>
          <w:szCs w:val="32"/>
          <w:lang w:val="en-US" w:eastAsia="zh-CN"/>
        </w:rPr>
        <w:t>2024年5月</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方正小标宋简体">
    <w:panose1 w:val="03000509000000000000"/>
    <w:charset w:val="86"/>
    <w:family w:val="script"/>
    <w:pitch w:val="default"/>
    <w:sig w:usb0="00000001" w:usb1="080E0000" w:usb2="00000000" w:usb3="00000000" w:csb0="00040000" w:csb1="00000000"/>
  </w:font>
  <w:font w:name="仿宋_GB2312">
    <w:altName w:val="仿宋"/>
    <w:panose1 w:val="02010609030101010101"/>
    <w:charset w:val="86"/>
    <w:family w:val="modern"/>
    <w:pitch w:val="default"/>
    <w:sig w:usb0="00000000" w:usb1="00000000" w:usb2="00000010" w:usb3="00000000" w:csb0="00040000" w:csb1="00000000"/>
  </w:font>
  <w:font w:name="楷体">
    <w:panose1 w:val="02010609060101010101"/>
    <w:charset w:val="86"/>
    <w:family w:val="modern"/>
    <w:pitch w:val="default"/>
    <w:sig w:usb0="800002BF" w:usb1="38CF7CFA" w:usb2="00000016" w:usb3="00000000" w:csb0="00040001" w:csb1="00000000"/>
  </w:font>
  <w:font w:name="仿宋">
    <w:panose1 w:val="0201060906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83B882A"/>
    <w:multiLevelType w:val="singleLevel"/>
    <w:tmpl w:val="B83B882A"/>
    <w:lvl w:ilvl="0" w:tentative="0">
      <w:start w:val="4"/>
      <w:numFmt w:val="chineseCounting"/>
      <w:suff w:val="nothing"/>
      <w:lvlText w:val="%1、"/>
      <w:lvlJc w:val="left"/>
      <w:pPr>
        <w:ind w:left="-1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TEwNDRhMGJjM2Q3NWY5ZjZhNjlkODE1YmRjOGU1MDMifQ=="/>
  </w:docVars>
  <w:rsids>
    <w:rsidRoot w:val="00B42D41"/>
    <w:rsid w:val="00021EB1"/>
    <w:rsid w:val="00066367"/>
    <w:rsid w:val="000859D6"/>
    <w:rsid w:val="000C0C2D"/>
    <w:rsid w:val="0010418F"/>
    <w:rsid w:val="0014075E"/>
    <w:rsid w:val="001641FD"/>
    <w:rsid w:val="00172FC1"/>
    <w:rsid w:val="00173F8B"/>
    <w:rsid w:val="00180D19"/>
    <w:rsid w:val="001E1087"/>
    <w:rsid w:val="001E5C6A"/>
    <w:rsid w:val="001F4DB1"/>
    <w:rsid w:val="002C52D3"/>
    <w:rsid w:val="002D661E"/>
    <w:rsid w:val="003675AB"/>
    <w:rsid w:val="003919E5"/>
    <w:rsid w:val="003925DF"/>
    <w:rsid w:val="004164B1"/>
    <w:rsid w:val="00423CB9"/>
    <w:rsid w:val="00433C0E"/>
    <w:rsid w:val="004777DA"/>
    <w:rsid w:val="004A2C29"/>
    <w:rsid w:val="004F3D5F"/>
    <w:rsid w:val="00506933"/>
    <w:rsid w:val="005541BC"/>
    <w:rsid w:val="005756C1"/>
    <w:rsid w:val="005B21A0"/>
    <w:rsid w:val="005E60A8"/>
    <w:rsid w:val="006043CC"/>
    <w:rsid w:val="00691EB7"/>
    <w:rsid w:val="006A58CB"/>
    <w:rsid w:val="00711018"/>
    <w:rsid w:val="007168FE"/>
    <w:rsid w:val="0072730E"/>
    <w:rsid w:val="00780E6B"/>
    <w:rsid w:val="008211EA"/>
    <w:rsid w:val="00842E35"/>
    <w:rsid w:val="008819D9"/>
    <w:rsid w:val="00885229"/>
    <w:rsid w:val="0089761A"/>
    <w:rsid w:val="008D5A2E"/>
    <w:rsid w:val="008F2752"/>
    <w:rsid w:val="00902F2B"/>
    <w:rsid w:val="009427A3"/>
    <w:rsid w:val="0095163F"/>
    <w:rsid w:val="0098778F"/>
    <w:rsid w:val="009C5F8A"/>
    <w:rsid w:val="009F01D9"/>
    <w:rsid w:val="00A10508"/>
    <w:rsid w:val="00A71D6A"/>
    <w:rsid w:val="00AD7A22"/>
    <w:rsid w:val="00AF66A1"/>
    <w:rsid w:val="00B42D41"/>
    <w:rsid w:val="00B63EF8"/>
    <w:rsid w:val="00BF62B5"/>
    <w:rsid w:val="00C11EA7"/>
    <w:rsid w:val="00C42376"/>
    <w:rsid w:val="00C43563"/>
    <w:rsid w:val="00C52F3F"/>
    <w:rsid w:val="00C6074B"/>
    <w:rsid w:val="00CA41F9"/>
    <w:rsid w:val="00CF1104"/>
    <w:rsid w:val="00D2718B"/>
    <w:rsid w:val="00DA5850"/>
    <w:rsid w:val="00DD46BB"/>
    <w:rsid w:val="00E7276F"/>
    <w:rsid w:val="00E9031F"/>
    <w:rsid w:val="00EC49BE"/>
    <w:rsid w:val="00F12429"/>
    <w:rsid w:val="00F2291F"/>
    <w:rsid w:val="00F55C81"/>
    <w:rsid w:val="07D43E30"/>
    <w:rsid w:val="09382A9C"/>
    <w:rsid w:val="18E116D4"/>
    <w:rsid w:val="1D8113B3"/>
    <w:rsid w:val="20665B21"/>
    <w:rsid w:val="219768DA"/>
    <w:rsid w:val="24EA02AB"/>
    <w:rsid w:val="26063164"/>
    <w:rsid w:val="2BEF655A"/>
    <w:rsid w:val="2CCE6E07"/>
    <w:rsid w:val="38303E3F"/>
    <w:rsid w:val="44AC567D"/>
    <w:rsid w:val="4C5B2D7A"/>
    <w:rsid w:val="525A17A3"/>
    <w:rsid w:val="54493D1D"/>
    <w:rsid w:val="571B71A0"/>
    <w:rsid w:val="603F2D33"/>
    <w:rsid w:val="609202E3"/>
    <w:rsid w:val="656A1565"/>
    <w:rsid w:val="65DB0C14"/>
    <w:rsid w:val="69EE007E"/>
    <w:rsid w:val="73E042BD"/>
    <w:rsid w:val="7B770A3F"/>
    <w:rsid w:val="7CFA5B5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8">
    <w:name w:val="Default Paragraph Font"/>
    <w:autoRedefine/>
    <w:semiHidden/>
    <w:unhideWhenUsed/>
    <w:qFormat/>
    <w:uiPriority w:val="1"/>
  </w:style>
  <w:style w:type="table" w:default="1" w:styleId="6">
    <w:name w:val="Normal Table"/>
    <w:autoRedefine/>
    <w:semiHidden/>
    <w:unhideWhenUsed/>
    <w:qFormat/>
    <w:uiPriority w:val="99"/>
    <w:tblPr>
      <w:tblCellMar>
        <w:top w:w="0" w:type="dxa"/>
        <w:left w:w="108" w:type="dxa"/>
        <w:bottom w:w="0" w:type="dxa"/>
        <w:right w:w="108" w:type="dxa"/>
      </w:tblCellMar>
    </w:tblPr>
  </w:style>
  <w:style w:type="paragraph" w:styleId="2">
    <w:name w:val="Balloon Text"/>
    <w:basedOn w:val="1"/>
    <w:link w:val="14"/>
    <w:autoRedefine/>
    <w:semiHidden/>
    <w:unhideWhenUsed/>
    <w:qFormat/>
    <w:uiPriority w:val="99"/>
    <w:rPr>
      <w:sz w:val="18"/>
      <w:szCs w:val="18"/>
    </w:rPr>
  </w:style>
  <w:style w:type="paragraph" w:styleId="3">
    <w:name w:val="footer"/>
    <w:basedOn w:val="1"/>
    <w:link w:val="11"/>
    <w:unhideWhenUsed/>
    <w:qFormat/>
    <w:uiPriority w:val="99"/>
    <w:pPr>
      <w:tabs>
        <w:tab w:val="center" w:pos="4153"/>
        <w:tab w:val="right" w:pos="8306"/>
      </w:tabs>
      <w:snapToGrid w:val="0"/>
      <w:jc w:val="left"/>
    </w:pPr>
    <w:rPr>
      <w:rFonts w:asciiTheme="minorHAnsi" w:hAnsiTheme="minorHAnsi" w:eastAsiaTheme="minorEastAsia" w:cstheme="minorBidi"/>
      <w:sz w:val="18"/>
      <w:szCs w:val="18"/>
    </w:rPr>
  </w:style>
  <w:style w:type="paragraph" w:styleId="4">
    <w:name w:val="header"/>
    <w:basedOn w:val="1"/>
    <w:link w:val="10"/>
    <w:autoRedefine/>
    <w:unhideWhenUsed/>
    <w:qFormat/>
    <w:uiPriority w:val="99"/>
    <w:pPr>
      <w:pBdr>
        <w:bottom w:val="single" w:color="auto" w:sz="6" w:space="1"/>
      </w:pBdr>
      <w:tabs>
        <w:tab w:val="center" w:pos="4153"/>
        <w:tab w:val="right" w:pos="8306"/>
      </w:tabs>
      <w:snapToGrid w:val="0"/>
      <w:jc w:val="center"/>
    </w:pPr>
    <w:rPr>
      <w:rFonts w:asciiTheme="minorHAnsi" w:hAnsiTheme="minorHAnsi" w:eastAsiaTheme="minorEastAsia" w:cstheme="minorBidi"/>
      <w:sz w:val="18"/>
      <w:szCs w:val="18"/>
    </w:rPr>
  </w:style>
  <w:style w:type="paragraph" w:styleId="5">
    <w:name w:val="Normal (Web)"/>
    <w:basedOn w:val="1"/>
    <w:autoRedefine/>
    <w:semiHidden/>
    <w:unhideWhenUsed/>
    <w:qFormat/>
    <w:uiPriority w:val="99"/>
    <w:pPr>
      <w:spacing w:beforeAutospacing="1" w:afterAutospacing="1"/>
      <w:jc w:val="left"/>
    </w:pPr>
    <w:rPr>
      <w:kern w:val="0"/>
      <w:sz w:val="24"/>
    </w:rPr>
  </w:style>
  <w:style w:type="table" w:styleId="7">
    <w:name w:val="Table Grid"/>
    <w:basedOn w:val="6"/>
    <w:autoRedefine/>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
    <w:name w:val="page number"/>
    <w:basedOn w:val="8"/>
    <w:autoRedefine/>
    <w:qFormat/>
    <w:uiPriority w:val="0"/>
  </w:style>
  <w:style w:type="character" w:customStyle="1" w:styleId="10">
    <w:name w:val="页眉 字符"/>
    <w:basedOn w:val="8"/>
    <w:link w:val="4"/>
    <w:autoRedefine/>
    <w:qFormat/>
    <w:uiPriority w:val="99"/>
    <w:rPr>
      <w:sz w:val="18"/>
      <w:szCs w:val="18"/>
    </w:rPr>
  </w:style>
  <w:style w:type="character" w:customStyle="1" w:styleId="11">
    <w:name w:val="页脚 字符"/>
    <w:basedOn w:val="8"/>
    <w:link w:val="3"/>
    <w:autoRedefine/>
    <w:qFormat/>
    <w:uiPriority w:val="99"/>
    <w:rPr>
      <w:sz w:val="18"/>
      <w:szCs w:val="18"/>
    </w:rPr>
  </w:style>
  <w:style w:type="paragraph" w:customStyle="1" w:styleId="12">
    <w:name w:val="段"/>
    <w:link w:val="13"/>
    <w:autoRedefine/>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13">
    <w:name w:val="段 Char"/>
    <w:basedOn w:val="8"/>
    <w:link w:val="12"/>
    <w:autoRedefine/>
    <w:qFormat/>
    <w:uiPriority w:val="0"/>
    <w:rPr>
      <w:rFonts w:ascii="宋体" w:hAnsi="Times New Roman" w:eastAsia="宋体" w:cs="Times New Roman"/>
      <w:kern w:val="0"/>
      <w:szCs w:val="20"/>
    </w:rPr>
  </w:style>
  <w:style w:type="character" w:customStyle="1" w:styleId="14">
    <w:name w:val="批注框文本 字符"/>
    <w:basedOn w:val="8"/>
    <w:link w:val="2"/>
    <w:autoRedefine/>
    <w:semiHidden/>
    <w:qFormat/>
    <w:uiPriority w:val="99"/>
    <w:rPr>
      <w:rFonts w:ascii="Times New Roman" w:hAnsi="Times New Roman" w:eastAsia="宋体" w:cs="Times New Roman"/>
      <w:sz w:val="18"/>
      <w:szCs w:val="18"/>
    </w:rPr>
  </w:style>
  <w:style w:type="paragraph" w:customStyle="1" w:styleId="15">
    <w:name w:val="标准书眉_奇数页"/>
    <w:next w:val="1"/>
    <w:autoRedefine/>
    <w:qFormat/>
    <w:uiPriority w:val="0"/>
    <w:pPr>
      <w:tabs>
        <w:tab w:val="center" w:pos="4154"/>
        <w:tab w:val="right" w:pos="8306"/>
      </w:tabs>
      <w:spacing w:after="220"/>
      <w:jc w:val="right"/>
    </w:pPr>
    <w:rPr>
      <w:rFonts w:ascii="黑体" w:hAnsi="Times New Roman" w:eastAsia="黑体" w:cs="Times New Roman"/>
      <w:sz w:val="21"/>
      <w:szCs w:val="21"/>
      <w:lang w:val="en-US" w:eastAsia="zh-CN" w:bidi="ar-SA"/>
    </w:rPr>
  </w:style>
  <w:style w:type="paragraph" w:customStyle="1" w:styleId="16">
    <w:name w:val="标准书脚_奇数页"/>
    <w:autoRedefine/>
    <w:qFormat/>
    <w:uiPriority w:val="0"/>
    <w:pPr>
      <w:spacing w:before="120"/>
      <w:ind w:right="198"/>
      <w:jc w:val="right"/>
    </w:pPr>
    <w:rPr>
      <w:rFonts w:ascii="宋体" w:hAnsi="Times New Roman" w:eastAsia="宋体" w:cs="Times New Roman"/>
      <w:sz w:val="18"/>
      <w:szCs w:val="18"/>
      <w:lang w:val="en-US" w:eastAsia="zh-CN" w:bidi="ar-SA"/>
    </w:r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numbering" Target="numbering.xml"/><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china</Company>
  <Pages>6</Pages>
  <Words>1936</Words>
  <Characters>2032</Characters>
  <Lines>19</Lines>
  <Paragraphs>5</Paragraphs>
  <TotalTime>2</TotalTime>
  <ScaleCrop>false</ScaleCrop>
  <LinksUpToDate>false</LinksUpToDate>
  <CharactersWithSpaces>2035</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2024-02-27T09:34:00Z</dcterms:created>
  <dc:creator>Administrator</dc:creator>
  <cp:lastModifiedBy>高汉</cp:lastModifiedBy>
  <cp:lastPrinted>2021-05-24T03:53:00Z</cp:lastPrinted>
  <dcterms:modified xsi:type="dcterms:W3CDTF">2024-07-08T07:27:34Z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141C09382F9241BD89DBAC3D520A2641_13</vt:lpwstr>
  </property>
</Properties>
</file>