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68DE2E">
      <w:pPr>
        <w:pStyle w:val="40"/>
      </w:pPr>
      <w:r>
        <w:rPr>
          <w:rFonts w:ascii="Times New Roman"/>
        </w:rPr>
        <w:t>CS</w:t>
      </w:r>
      <w:r>
        <w:rPr>
          <w:rFonts w:hAnsi="黑体"/>
        </w:rPr>
        <w:t> </w:t>
      </w:r>
      <w:r>
        <w:fldChar w:fldCharType="begin">
          <w:ffData>
            <w:name w:val="ICS"/>
            <w:enabled/>
            <w:calcOnExit w:val="0"/>
            <w:helpText w:type="text" w:val="请输入正确的ICS号："/>
            <w:textInput>
              <w:default w:val="点击此处添加ICS号"/>
            </w:textInput>
          </w:ffData>
        </w:fldChar>
      </w:r>
      <w:bookmarkStart w:id="0" w:name="ICS"/>
      <w:r>
        <w:instrText xml:space="preserve"> FORMTEXT </w:instrText>
      </w:r>
      <w:r>
        <w:fldChar w:fldCharType="separate"/>
      </w:r>
      <w:r>
        <w:rPr>
          <w:rFonts w:hint="eastAsia"/>
        </w:rPr>
        <w:t>点击此处添加ICS号</w:t>
      </w:r>
      <w:r>
        <w:fldChar w:fldCharType="end"/>
      </w:r>
      <w:bookmarkEnd w:id="0"/>
    </w:p>
    <w:p w14:paraId="62BBFDC9">
      <w:pPr>
        <w:pStyle w:val="40"/>
      </w:pPr>
      <w:r>
        <w:fldChar w:fldCharType="begin">
          <w:ffData>
            <w:name w:val="WXFLH"/>
            <w:enabled/>
            <w:calcOnExit w:val="0"/>
            <w:helpText w:type="text" w:val="请输入中国标准文献分类号："/>
            <w:textInput>
              <w:default w:val="点击此处添加中国标准文献分类号"/>
            </w:textInput>
          </w:ffData>
        </w:fldChar>
      </w:r>
      <w:bookmarkStart w:id="1" w:name="WXFLH"/>
      <w:r>
        <w:instrText xml:space="preserve"> FORMTEXT </w:instrText>
      </w:r>
      <w:r>
        <w:fldChar w:fldCharType="separate"/>
      </w:r>
      <w:r>
        <w:rPr>
          <w:rFonts w:hint="eastAsia"/>
        </w:rPr>
        <w:t>点击此处添加中国标准文献分类号</w:t>
      </w:r>
      <w:r>
        <w:fldChar w:fldCharType="end"/>
      </w:r>
      <w:bookmarkEnd w:id="1"/>
    </w:p>
    <w:tbl>
      <w:tblPr>
        <w:tblStyle w:val="9"/>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14:paraId="646F01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noWrap w:val="0"/>
            <w:vAlign w:val="top"/>
          </w:tcPr>
          <w:p w14:paraId="340151BC">
            <w:pPr>
              <w:pStyle w:val="40"/>
            </w:pPr>
            <w: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1905" b="0"/>
                      <wp:wrapNone/>
                      <wp:docPr id="4"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wrap="square" upright="1"/>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yK4v7NUA&#10;AAAHAQAADwAAAAAAAAABACAAAAAiAAAAZHJzL2Rvd25yZXYueG1sUEsBAhQAFAAAAAgAh07iQLEz&#10;6MywAQAAZwMAAA4AAAAAAAAAAQAgAAAAJAEAAGRycy9lMm9Eb2MueG1sUEsFBgAAAAAGAAYAWQEA&#10;AEYFAAAAAA==&#10;">
                      <v:fill on="t" focussize="0,0"/>
                      <v:stroke on="f"/>
                      <v:imagedata o:title=""/>
                      <o:lock v:ext="edit" aspectratio="f"/>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14:paraId="56A456CB">
      <w:pPr>
        <w:pStyle w:val="41"/>
        <w:rPr>
          <w:rFonts w:hint="default" w:eastAsia="宋体"/>
          <w:lang w:val="en-US" w:eastAsia="zh-CN"/>
        </w:rPr>
      </w:pPr>
      <w:r>
        <w:t>DB</w:t>
      </w:r>
      <w:r>
        <w:rPr>
          <w:rFonts w:hint="eastAsia"/>
          <w:lang w:val="en-US" w:eastAsia="zh-CN"/>
        </w:rPr>
        <w:t>36</w:t>
      </w:r>
      <w:bookmarkStart w:id="54" w:name="_GoBack"/>
      <w:bookmarkEnd w:id="54"/>
    </w:p>
    <w:p w14:paraId="61AC8A11">
      <w:pPr>
        <w:pStyle w:val="43"/>
        <w:outlineLvl w:val="0"/>
      </w:pPr>
      <w:bookmarkStart w:id="3" w:name="_Toc15490"/>
      <w:bookmarkStart w:id="4" w:name="_Toc22555"/>
      <w:r>
        <w:rPr>
          <w:rFonts w:hint="eastAsia"/>
          <w:lang w:eastAsia="zh-CN"/>
        </w:rPr>
        <w:t>江西省</w:t>
      </w:r>
      <w:r>
        <w:rPr>
          <w:rFonts w:hint="eastAsia"/>
        </w:rPr>
        <w:t>地方标准</w:t>
      </w:r>
      <w:bookmarkEnd w:id="3"/>
      <w:bookmarkEnd w:id="4"/>
    </w:p>
    <w:p w14:paraId="2A15C5E8">
      <w:pPr>
        <w:pStyle w:val="44"/>
        <w:rPr>
          <w:rFonts w:hAnsi="黑体"/>
        </w:rPr>
      </w:pPr>
      <w:r>
        <w:rPr>
          <w:rFonts w:ascii="Times New Roman"/>
        </w:rPr>
        <w:t xml:space="preserve">DB </w:t>
      </w:r>
      <w:r>
        <w:rPr>
          <w:rFonts w:hAnsi="黑体"/>
        </w:rPr>
        <w:fldChar w:fldCharType="begin">
          <w:ffData>
            <w:name w:val="StdNo0"/>
            <w:enabled/>
            <w:calcOnExit w:val="0"/>
            <w:textInput>
              <w:default w:val="XX"/>
              <w:maxLength w:val="2"/>
            </w:textInput>
          </w:ffData>
        </w:fldChar>
      </w:r>
      <w:bookmarkStart w:id="5" w:name="StdNo0"/>
      <w:r>
        <w:rPr>
          <w:rFonts w:hAnsi="黑体"/>
        </w:rPr>
        <w:instrText xml:space="preserve"> FORMTEXT </w:instrText>
      </w:r>
      <w:r>
        <w:rPr>
          <w:rFonts w:hAnsi="黑体"/>
        </w:rPr>
        <w:fldChar w:fldCharType="separate"/>
      </w:r>
      <w:r>
        <w:rPr>
          <w:rFonts w:hAnsi="黑体"/>
        </w:rPr>
        <w:t>XX</w:t>
      </w:r>
      <w:r>
        <w:rPr>
          <w:rFonts w:hAnsi="黑体"/>
        </w:rPr>
        <w:fldChar w:fldCharType="end"/>
      </w:r>
      <w:bookmarkEnd w:id="5"/>
      <w:r>
        <w:rPr>
          <w:rFonts w:hAnsi="黑体"/>
        </w:rPr>
        <w:t xml:space="preserve">/ </w:t>
      </w:r>
      <w:r>
        <w:rPr>
          <w:rFonts w:hAnsi="黑体"/>
        </w:rPr>
        <w:fldChar w:fldCharType="begin">
          <w:ffData>
            <w:name w:val="StdNo1"/>
            <w:enabled/>
            <w:calcOnExit w:val="0"/>
            <w:textInput>
              <w:default w:val="XXXXX"/>
            </w:textInput>
          </w:ffData>
        </w:fldChar>
      </w:r>
      <w:bookmarkStart w:id="6" w:name="StdNo1"/>
      <w:r>
        <w:rPr>
          <w:rFonts w:hAnsi="黑体"/>
        </w:rPr>
        <w:instrText xml:space="preserve"> FORMTEXT </w:instrText>
      </w:r>
      <w:r>
        <w:rPr>
          <w:rFonts w:hAnsi="黑体"/>
        </w:rPr>
        <w:fldChar w:fldCharType="separate"/>
      </w:r>
      <w:r>
        <w:rPr>
          <w:rFonts w:hAnsi="黑体"/>
        </w:rPr>
        <w:t>XXXXX</w:t>
      </w:r>
      <w:r>
        <w:rPr>
          <w:rFonts w:hAnsi="黑体"/>
        </w:rPr>
        <w:fldChar w:fldCharType="end"/>
      </w:r>
      <w:bookmarkEnd w:id="6"/>
      <w:r>
        <w:rPr>
          <w:rFonts w:hAnsi="黑体"/>
        </w:rPr>
        <w:t>—</w:t>
      </w:r>
      <w:r>
        <w:rPr>
          <w:rFonts w:hAnsi="黑体"/>
        </w:rPr>
        <w:fldChar w:fldCharType="begin">
          <w:ffData>
            <w:name w:val="StdNo2"/>
            <w:enabled/>
            <w:calcOnExit w:val="0"/>
            <w:textInput>
              <w:default w:val="XXXX"/>
              <w:maxLength w:val="4"/>
            </w:textInput>
          </w:ffData>
        </w:fldChar>
      </w:r>
      <w:bookmarkStart w:id="7" w:name="StdNo2"/>
      <w:r>
        <w:rPr>
          <w:rFonts w:hAnsi="黑体"/>
        </w:rPr>
        <w:instrText xml:space="preserve"> FORMTEXT </w:instrText>
      </w:r>
      <w:r>
        <w:rPr>
          <w:rFonts w:hAnsi="黑体"/>
        </w:rPr>
        <w:fldChar w:fldCharType="separate"/>
      </w:r>
      <w:r>
        <w:rPr>
          <w:rFonts w:hAnsi="黑体"/>
        </w:rPr>
        <w:t>XXXX</w:t>
      </w:r>
      <w:r>
        <w:rPr>
          <w:rFonts w:hAnsi="黑体"/>
        </w:rPr>
        <w:fldChar w:fldCharType="end"/>
      </w:r>
      <w:bookmarkEnd w:id="7"/>
    </w:p>
    <w:tbl>
      <w:tblPr>
        <w:tblStyle w:val="9"/>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7F7001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noWrap w:val="0"/>
            <w:vAlign w:val="top"/>
          </w:tcPr>
          <w:p w14:paraId="7B435AFC">
            <w:pPr>
              <w:pStyle w:val="45"/>
            </w:pPr>
            <w: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wrap="square" upright="1"/>
                          </wps:wsp>
                        </a:graphicData>
                      </a:graphic>
                    </wp:anchor>
                  </w:drawing>
                </mc:Choice>
                <mc:Fallback>
                  <w:pict>
                    <v:rect id="DT"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B5g8svWAAAACAEA&#10;AA8AAAAAAAAAAQAgAAAAIgAAAGRycy9kb3ducmV2LnhtbFBLAQIUABQAAAAIAIdO4kD2n1EKqgEA&#10;AGcDAAAOAAAAAAAAAAEAIAAAACUBAABkcnMvZTJvRG9jLnhtbFBLBQYAAAAABgAGAFkBAABBBQAA&#10;AAA=&#10;">
                      <v:fill on="t" focussize="0,0"/>
                      <v:stroke on="f"/>
                      <v:imagedata o:title=""/>
                      <o:lock v:ext="edit" aspectratio="f"/>
                    </v:rect>
                  </w:pict>
                </mc:Fallback>
              </mc:AlternateContent>
            </w:r>
            <w:r>
              <w:fldChar w:fldCharType="begin">
                <w:ffData>
                  <w:name w:val="DT"/>
                  <w:enabled/>
                  <w:calcOnExit w:val="0"/>
                  <w:textInput/>
                </w:ffData>
              </w:fldChar>
            </w:r>
            <w:bookmarkStart w:id="8" w:name="DT"/>
            <w:r>
              <w:instrText xml:space="preserve"> FORMTEXT </w:instrText>
            </w:r>
            <w:r>
              <w:fldChar w:fldCharType="separate"/>
            </w:r>
            <w:r>
              <w:t>     </w:t>
            </w:r>
            <w:r>
              <w:fldChar w:fldCharType="end"/>
            </w:r>
            <w:bookmarkEnd w:id="8"/>
          </w:p>
        </w:tc>
      </w:tr>
    </w:tbl>
    <w:p w14:paraId="581869C4">
      <w:pPr>
        <w:pStyle w:val="44"/>
        <w:rPr>
          <w:rFonts w:hAnsi="黑体"/>
        </w:rPr>
      </w:pPr>
    </w:p>
    <w:p w14:paraId="751831B1">
      <w:pPr>
        <w:pStyle w:val="44"/>
        <w:rPr>
          <w:rFonts w:hAnsi="黑体"/>
        </w:rPr>
      </w:pPr>
    </w:p>
    <w:p w14:paraId="2B9D7D7F">
      <w:pPr>
        <w:pStyle w:val="46"/>
        <w:outlineLvl w:val="0"/>
      </w:pPr>
      <w:bookmarkStart w:id="9" w:name="StdName"/>
      <w:bookmarkStart w:id="10" w:name="_Toc22076"/>
      <w:bookmarkStart w:id="11" w:name="_Toc25919"/>
      <w:r>
        <w:rPr>
          <w:rFonts w:hint="eastAsia" w:ascii="黑体" w:hAnsi="Times New Roman" w:eastAsia="黑体" w:cs="Times New Roman"/>
          <w:sz w:val="52"/>
          <w:lang w:val="en-US" w:eastAsia="zh-CN" w:bidi="ar-SA"/>
        </w:rPr>
        <w:fldChar w:fldCharType="begin">
          <w:ffData>
            <w:name w:val="StdName"/>
            <w:enabled/>
            <w:calcOnExit w:val="0"/>
            <w:textInput>
              <w:default w:val="工业产品生产许可复肥告知承诺&#13;&#10;例行检查规范"/>
            </w:textInput>
          </w:ffData>
        </w:fldChar>
      </w:r>
      <w:r>
        <w:rPr>
          <w:rFonts w:hint="eastAsia" w:ascii="黑体" w:hAnsi="Times New Roman" w:eastAsia="黑体" w:cs="Times New Roman"/>
          <w:sz w:val="52"/>
          <w:lang w:val="en-US" w:eastAsia="zh-CN" w:bidi="ar-SA"/>
        </w:rPr>
        <w:instrText xml:space="preserve">FORMTEXT</w:instrText>
      </w:r>
      <w:r>
        <w:rPr>
          <w:rFonts w:hint="eastAsia" w:ascii="黑体" w:hAnsi="Times New Roman" w:eastAsia="黑体" w:cs="Times New Roman"/>
          <w:sz w:val="52"/>
          <w:lang w:val="en-US" w:eastAsia="zh-CN" w:bidi="ar-SA"/>
        </w:rPr>
        <w:fldChar w:fldCharType="separate"/>
      </w:r>
      <w:r>
        <w:rPr>
          <w:rFonts w:hint="eastAsia" w:cs="Times New Roman"/>
          <w:sz w:val="52"/>
          <w:lang w:val="en-US" w:eastAsia="zh-CN" w:bidi="ar-SA"/>
        </w:rPr>
        <w:t>食品相关产品生产企业质量提升指南</w:t>
      </w:r>
      <w:r>
        <w:rPr>
          <w:rFonts w:hint="eastAsia" w:ascii="黑体" w:hAnsi="Times New Roman" w:eastAsia="黑体" w:cs="Times New Roman"/>
          <w:sz w:val="52"/>
          <w:lang w:val="en-US" w:eastAsia="zh-CN" w:bidi="ar-SA"/>
        </w:rPr>
        <w:fldChar w:fldCharType="end"/>
      </w:r>
      <w:bookmarkEnd w:id="9"/>
      <w:bookmarkEnd w:id="10"/>
      <w:bookmarkEnd w:id="11"/>
    </w:p>
    <w:p w14:paraId="133E6B6E">
      <w:pPr>
        <w:pStyle w:val="47"/>
      </w:pPr>
      <w:r>
        <w:fldChar w:fldCharType="begin">
          <w:ffData>
            <w:name w:val="StdEnglishName"/>
            <w:enabled/>
            <w:calcOnExit w:val="0"/>
            <w:textInput>
              <w:default w:val="点击此处添加标准英文译名"/>
            </w:textInput>
          </w:ffData>
        </w:fldChar>
      </w:r>
      <w:bookmarkStart w:id="12" w:name="StdEnglishName"/>
      <w:r>
        <w:instrText xml:space="preserve"> FORMTEXT </w:instrText>
      </w:r>
      <w:r>
        <w:fldChar w:fldCharType="separate"/>
      </w:r>
      <w:r>
        <w:t> </w:t>
      </w:r>
      <w:r>
        <w:fldChar w:fldCharType="begin">
          <w:ffData>
            <w:name w:val="StdEnglishName"/>
            <w:enabled/>
            <w:calcOnExit w:val="0"/>
            <w:textInput>
              <w:default w:val="点击此处添加标准英文译名"/>
            </w:textInput>
          </w:ffData>
        </w:fldChar>
      </w:r>
      <w:r>
        <w:instrText xml:space="preserve"> FORMTEXT </w:instrText>
      </w:r>
      <w:r>
        <w:fldChar w:fldCharType="separate"/>
      </w:r>
      <w:r>
        <w:t>  </w:t>
      </w:r>
      <w:r>
        <w:fldChar w:fldCharType="begin">
          <w:ffData>
            <w:name w:val="StdEnglishName"/>
            <w:enabled/>
            <w:calcOnExit w:val="0"/>
            <w:textInput>
              <w:default w:val="点击此处添加标准英文译名"/>
            </w:textInput>
          </w:ffData>
        </w:fldChar>
      </w:r>
      <w:r>
        <w:instrText xml:space="preserve"> FORMTEXT </w:instrText>
      </w:r>
      <w:r>
        <w:fldChar w:fldCharType="separate"/>
      </w:r>
      <w:r>
        <w:t>   </w:t>
      </w:r>
      <w:r>
        <w:fldChar w:fldCharType="begin">
          <w:ffData>
            <w:name w:val="StdEnglishName"/>
            <w:enabled/>
            <w:calcOnExit w:val="0"/>
            <w:textInput>
              <w:default w:val="点击此处添加标准英文译名"/>
            </w:textInput>
          </w:ffData>
        </w:fldChar>
      </w:r>
      <w:r>
        <w:instrText xml:space="preserve"> FORMTEXT </w:instrText>
      </w:r>
      <w:r>
        <w:fldChar w:fldCharType="separate"/>
      </w:r>
      <w:r>
        <w:t> </w:t>
      </w:r>
      <w:r>
        <w:fldChar w:fldCharType="begin">
          <w:ffData>
            <w:name w:val="StdEnglishName"/>
            <w:enabled/>
            <w:calcOnExit w:val="0"/>
            <w:textInput>
              <w:default w:val="点击此处添加标准英文译名"/>
            </w:textInput>
          </w:ffData>
        </w:fldChar>
      </w:r>
      <w:r>
        <w:instrText xml:space="preserve"> FORMTEXT </w:instrText>
      </w:r>
      <w:r>
        <w:fldChar w:fldCharType="separate"/>
      </w:r>
      <w:r>
        <w:rPr>
          <w:rFonts w:hint="default" w:ascii="Times New Roman" w:hAnsi="Times New Roman" w:cs="Times New Roman"/>
          <w:sz w:val="28"/>
          <w:szCs w:val="28"/>
        </w:rPr>
        <w:fldChar w:fldCharType="begin">
          <w:ffData>
            <w:name w:val="WCRQ"/>
            <w:enabled/>
            <w:calcOnExit w:val="0"/>
            <w:textInput/>
          </w:ffData>
        </w:fldChar>
      </w:r>
      <w:r>
        <w:rPr>
          <w:rFonts w:hint="default" w:ascii="Times New Roman" w:hAnsi="Times New Roman" w:cs="Times New Roman"/>
          <w:sz w:val="28"/>
          <w:szCs w:val="28"/>
        </w:rPr>
        <w:instrText xml:space="preserve"> FORMTEXT </w:instrText>
      </w:r>
      <w:r>
        <w:rPr>
          <w:rFonts w:hint="default" w:ascii="Times New Roman" w:hAnsi="Times New Roman" w:cs="Times New Roman"/>
          <w:sz w:val="28"/>
          <w:szCs w:val="28"/>
        </w:rPr>
        <w:fldChar w:fldCharType="separate"/>
      </w:r>
      <w:r>
        <w:rPr>
          <w:rStyle w:val="26"/>
          <w:rFonts w:ascii="Times New Roman" w:hAnsi="Times New Roman" w:cs="Times New Roman"/>
          <w:color w:val="auto"/>
        </w:rPr>
        <w:t>Guide for quality improvement</w:t>
      </w:r>
      <w:r>
        <w:rPr>
          <w:rStyle w:val="26"/>
          <w:rFonts w:hint="eastAsia" w:ascii="Times New Roman" w:hAnsi="Times New Roman" w:cs="Times New Roman"/>
          <w:color w:val="auto"/>
          <w:lang w:val="en-US" w:eastAsia="zh-CN"/>
        </w:rPr>
        <w:t xml:space="preserve"> </w:t>
      </w:r>
      <w:r>
        <w:rPr>
          <w:rStyle w:val="26"/>
          <w:rFonts w:ascii="Times New Roman" w:hAnsi="Times New Roman" w:cs="Times New Roman"/>
          <w:color w:val="auto"/>
        </w:rPr>
        <w:t xml:space="preserve">of </w:t>
      </w:r>
      <w:r>
        <w:rPr>
          <w:rStyle w:val="26"/>
          <w:rFonts w:ascii="Times New Roman" w:hAnsi="Times New Roman" w:cs="Times New Roman"/>
          <w:color w:val="auto"/>
          <w:lang w:eastAsia="zh-CN"/>
        </w:rPr>
        <w:t>f</w:t>
      </w:r>
      <w:r>
        <w:rPr>
          <w:rStyle w:val="26"/>
          <w:rFonts w:ascii="Times New Roman" w:hAnsi="Times New Roman" w:cs="Times New Roman"/>
          <w:color w:val="auto"/>
        </w:rPr>
        <w:t>ood related products enterprises</w:t>
      </w:r>
      <w:r>
        <w:rPr>
          <w:rStyle w:val="26"/>
          <w:rFonts w:hint="eastAsia" w:ascii="Times New Roman" w:hAnsi="Times New Roman" w:cs="Times New Roman"/>
          <w:color w:val="auto"/>
          <w:lang w:val="en-US" w:eastAsia="zh-CN"/>
        </w:rPr>
        <w:t xml:space="preserve"> </w:t>
      </w:r>
      <w:r>
        <w:rPr>
          <w:rFonts w:hint="default" w:ascii="Times New Roman" w:hAnsi="Times New Roman" w:cs="Times New Roman"/>
          <w:sz w:val="28"/>
          <w:szCs w:val="28"/>
        </w:rPr>
        <w:t> </w:t>
      </w:r>
      <w:r>
        <w:rPr>
          <w:rFonts w:hint="default" w:ascii="Times New Roman" w:hAnsi="Times New Roman" w:cs="Times New Roman"/>
          <w:sz w:val="28"/>
          <w:szCs w:val="28"/>
        </w:rPr>
        <w:fldChar w:fldCharType="end"/>
      </w:r>
      <w:r>
        <w:fldChar w:fldCharType="end"/>
      </w:r>
      <w:r>
        <w:fldChar w:fldCharType="end"/>
      </w:r>
      <w:r>
        <w:fldChar w:fldCharType="end"/>
      </w:r>
      <w:r>
        <w:fldChar w:fldCharType="end"/>
      </w:r>
      <w:r>
        <w:t>    </w:t>
      </w:r>
      <w:r>
        <w:fldChar w:fldCharType="end"/>
      </w:r>
      <w:bookmarkEnd w:id="12"/>
    </w:p>
    <w:p w14:paraId="1BDC40E4">
      <w:pPr>
        <w:pStyle w:val="48"/>
        <w:outlineLvl w:val="0"/>
      </w:pPr>
      <w:bookmarkStart w:id="13" w:name="_Toc17753"/>
      <w:bookmarkStart w:id="14" w:name="_Toc10592"/>
      <w:r>
        <w:fldChar w:fldCharType="begin">
          <w:ffData>
            <w:name w:val="YZBS"/>
            <w:enabled/>
            <w:calcOnExit w:val="0"/>
            <w:textInput>
              <w:default w:val="点击此处添加与国际标准一致性程度的标识"/>
            </w:textInput>
          </w:ffData>
        </w:fldChar>
      </w:r>
      <w:bookmarkStart w:id="15" w:name="YZBS"/>
      <w:r>
        <w:instrText xml:space="preserve"> FORMTEXT </w:instrText>
      </w:r>
      <w:r>
        <w:fldChar w:fldCharType="separate"/>
      </w:r>
      <w:r>
        <w:rPr>
          <w:rFonts w:hint="eastAsia"/>
        </w:rPr>
        <w:t>点击此处添加与国际标准一致性程度的标识</w:t>
      </w:r>
      <w:r>
        <w:fldChar w:fldCharType="end"/>
      </w:r>
      <w:bookmarkEnd w:id="13"/>
      <w:bookmarkEnd w:id="14"/>
      <w:bookmarkEnd w:id="15"/>
    </w:p>
    <w:tbl>
      <w:tblPr>
        <w:tblStyle w:val="9"/>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698D2B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14:paraId="23311146">
            <w:pPr>
              <w:pStyle w:val="49"/>
            </w:pPr>
            <w: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573405</wp:posOffset>
                      </wp:positionV>
                      <wp:extent cx="1905000" cy="254000"/>
                      <wp:effectExtent l="0" t="0" r="0" b="5080"/>
                      <wp:wrapNone/>
                      <wp:docPr id="3"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wrap="square" upright="1"/>
                          </wps:wsp>
                        </a:graphicData>
                      </a:graphic>
                    </wp:anchor>
                  </w:drawing>
                </mc:Choice>
                <mc:Fallback>
                  <w:pict>
                    <v:rect id="RQ" o:spid="_x0000_s1026" o:spt="1" style="position:absolute;left:0pt;margin-left:173.3pt;margin-top:45.15pt;height:20pt;width:150pt;z-index:-251655168;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BYmuktUAAAAKAQAA&#10;DwAAAAAAAAABACAAAAAiAAAAZHJzL2Rvd25yZXYueG1sUEsBAhQAFAAAAAgAh07iQI1ieZWqAQAA&#10;ZwMAAA4AAAAAAAAAAQAgAAAAJAEAAGRycy9lMm9Eb2MueG1sUEsFBgAAAAAGAAYAWQEAAEAFAAAA&#10;AA==&#10;">
                      <v:fill on="t" focussize="0,0"/>
                      <v:stroke on="f"/>
                      <v:imagedata o:title=""/>
                      <o:lock v:ext="edit" aspectratio="f"/>
                      <w10:anchorlock/>
                    </v:rect>
                  </w:pict>
                </mc:Fallback>
              </mc:AlternateContent>
            </w:r>
            <w:r>
              <mc:AlternateContent>
                <mc:Choice Requires="wps">
                  <w:drawing>
                    <wp:anchor distT="0" distB="0" distL="114300" distR="114300" simplePos="0" relativeHeight="251660288" behindDoc="1" locked="0" layoutInCell="1" allowOverlap="1">
                      <wp:simplePos x="0" y="0"/>
                      <wp:positionH relativeFrom="column">
                        <wp:posOffset>2454910</wp:posOffset>
                      </wp:positionH>
                      <wp:positionV relativeFrom="paragraph">
                        <wp:posOffset>255905</wp:posOffset>
                      </wp:positionV>
                      <wp:extent cx="1270000" cy="304800"/>
                      <wp:effectExtent l="0" t="0" r="10160" b="0"/>
                      <wp:wrapNone/>
                      <wp:docPr id="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wrap="square" upright="1"/>
                          </wps:wsp>
                        </a:graphicData>
                      </a:graphic>
                    </wp:anchor>
                  </w:drawing>
                </mc:Choice>
                <mc:Fallback>
                  <w:pict>
                    <v:rect id="LB" o:spid="_x0000_s1026" o:spt="1" style="position:absolute;left:0pt;margin-left:193.3pt;margin-top:20.15pt;height:24pt;width:100pt;z-index:-251656192;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A+GL5dYAAAAJAQAA&#10;DwAAAAAAAAABACAAAAAiAAAAZHJzL2Rvd25yZXYueG1sUEsBAhQAFAAAAAgAh07iQBXfBLqpAQAA&#10;ZwMAAA4AAAAAAAAAAQAgAAAAJQEAAGRycy9lMm9Eb2MueG1sUEsFBgAAAAAGAAYAWQEAAEAFAAAA&#10;AA==&#10;">
                      <v:fill on="t" focussize="0,0"/>
                      <v:stroke on="f"/>
                      <v:imagedata o:title=""/>
                      <o:lock v:ext="edit" aspectratio="f"/>
                    </v:rect>
                  </w:pict>
                </mc:Fallback>
              </mc:AlternateConten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6" w:name="LB"/>
            <w:r>
              <w:instrText xml:space="preserve"> FORMDROPDOWN </w:instrText>
            </w:r>
            <w:r>
              <w:fldChar w:fldCharType="separate"/>
            </w:r>
            <w:r>
              <w:fldChar w:fldCharType="end"/>
            </w:r>
            <w:bookmarkEnd w:id="16"/>
          </w:p>
        </w:tc>
      </w:tr>
      <w:tr w14:paraId="1A6369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14:paraId="0D522880">
            <w:pPr>
              <w:pStyle w:val="50"/>
            </w:pPr>
            <w:r>
              <w:fldChar w:fldCharType="begin">
                <w:ffData>
                  <w:name w:val="WCRQ"/>
                  <w:enabled/>
                  <w:calcOnExit w:val="0"/>
                  <w:textInput/>
                </w:ffData>
              </w:fldChar>
            </w:r>
            <w:r>
              <w:instrText xml:space="preserve"> FORMTEXT </w:instrText>
            </w:r>
            <w:r>
              <w:fldChar w:fldCharType="separate"/>
            </w:r>
            <w:r>
              <w:t>   </w:t>
            </w:r>
            <w:r>
              <w:rPr>
                <w:rFonts w:hint="eastAsia"/>
              </w:rPr>
              <w:t>（本稿完成日期：202</w:t>
            </w:r>
            <w:r>
              <w:rPr>
                <w:rFonts w:hint="eastAsia"/>
                <w:lang w:val="en-US" w:eastAsia="zh-CN"/>
              </w:rPr>
              <w:t>4</w:t>
            </w:r>
            <w:r>
              <w:rPr>
                <w:rFonts w:hint="eastAsia"/>
              </w:rPr>
              <w:t>年</w:t>
            </w:r>
            <w:r>
              <w:rPr>
                <w:rFonts w:hint="eastAsia"/>
                <w:lang w:val="en-US" w:eastAsia="zh-CN"/>
              </w:rPr>
              <w:t>05</w:t>
            </w:r>
            <w:r>
              <w:rPr>
                <w:rFonts w:hint="eastAsia"/>
              </w:rPr>
              <w:t>月</w:t>
            </w:r>
            <w:r>
              <w:rPr>
                <w:rFonts w:hint="eastAsia"/>
                <w:lang w:val="en-US" w:eastAsia="zh-CN"/>
              </w:rPr>
              <w:t>10</w:t>
            </w:r>
            <w:r>
              <w:rPr>
                <w:rFonts w:hint="eastAsia"/>
              </w:rPr>
              <w:t>日）</w:t>
            </w:r>
            <w:r>
              <w:t>  </w:t>
            </w:r>
            <w:r>
              <w:fldChar w:fldCharType="end"/>
            </w:r>
          </w:p>
        </w:tc>
      </w:tr>
    </w:tbl>
    <w:p w14:paraId="7C0138C1">
      <w:pPr>
        <w:pStyle w:val="51"/>
      </w:pPr>
      <w:r>
        <w:rPr>
          <w:rFonts w:ascii="黑体"/>
        </w:rPr>
        <w:fldChar w:fldCharType="begin">
          <w:ffData>
            <w:name w:val="FY"/>
            <w:enabled/>
            <w:calcOnExit w:val="0"/>
            <w:textInput>
              <w:default w:val="XXXX"/>
              <w:maxLength w:val="4"/>
            </w:textInput>
          </w:ffData>
        </w:fldChar>
      </w:r>
      <w:bookmarkStart w:id="17" w:name="F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FD"/>
            <w:enabled/>
            <w:calcOnExit w:val="0"/>
            <w:textInput>
              <w:default w:val="XX"/>
              <w:maxLength w:val="2"/>
            </w:textInput>
          </w:ffData>
        </w:fldChar>
      </w:r>
      <w:bookmarkStart w:id="18" w:name="F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发布</w:t>
      </w:r>
      <w:r>
        <mc:AlternateContent>
          <mc:Choice Requires="wps">
            <w:drawing>
              <wp:anchor distT="0" distB="0" distL="114300" distR="114300" simplePos="0" relativeHeight="251663360" behindDoc="0" locked="1" layoutInCell="1" allowOverlap="1">
                <wp:simplePos x="0" y="0"/>
                <wp:positionH relativeFrom="column">
                  <wp:posOffset>-635</wp:posOffset>
                </wp:positionH>
                <wp:positionV relativeFrom="page">
                  <wp:posOffset>9251950</wp:posOffset>
                </wp:positionV>
                <wp:extent cx="6120130" cy="0"/>
                <wp:effectExtent l="0" t="4445" r="0" b="5080"/>
                <wp:wrapNone/>
                <wp:docPr id="5"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0" o:spid="_x0000_s1026" o:spt="20" style="position:absolute;left:0pt;margin-left:-0.05pt;margin-top:728.5pt;height:0pt;width:481.9pt;mso-position-vertical-relative:page;z-index:251663360;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WHazzWAAAA&#10;CwEAAA8AAAAAAAAAAQAgAAAAIgAAAGRycy9kb3ducmV2LnhtbFBLAQIUABQAAAAIAIdO4kA3tMMG&#10;5gEAANwDAAAOAAAAAAAAAAEAIAAAACUBAABkcnMvZTJvRG9jLnhtbFBLBQYAAAAABgAGAFkBAAB9&#10;BQAAAAA=&#10;">
                <v:fill on="f" focussize="0,0"/>
                <v:stroke color="#000000" joinstyle="round"/>
                <v:imagedata o:title=""/>
                <o:lock v:ext="edit" aspectratio="f"/>
                <w10:anchorlock/>
              </v:line>
            </w:pict>
          </mc:Fallback>
        </mc:AlternateContent>
      </w:r>
    </w:p>
    <w:p w14:paraId="7AF7E9B5">
      <w:pPr>
        <w:pStyle w:val="53"/>
      </w:pPr>
      <w:r>
        <w:rPr>
          <w:rFonts w:ascii="黑体"/>
        </w:rPr>
        <w:fldChar w:fldCharType="begin">
          <w:ffData>
            <w:name w:val="SY"/>
            <w:enabled/>
            <w:calcOnExit w:val="0"/>
            <w:textInput>
              <w:default w:val="XXXX"/>
              <w:maxLength w:val="4"/>
            </w:textInput>
          </w:ffData>
        </w:fldChar>
      </w:r>
      <w:bookmarkStart w:id="19" w:name="SY"/>
      <w:r>
        <w:rPr>
          <w:rFonts w:ascii="黑体"/>
        </w:rPr>
        <w:instrText xml:space="preserve"> FORMTEXT </w:instrText>
      </w:r>
      <w:r>
        <w:rPr>
          <w:rFonts w:ascii="黑体"/>
        </w:rPr>
        <w:fldChar w:fldCharType="separate"/>
      </w:r>
      <w:r>
        <w:rPr>
          <w:rFonts w:ascii="黑体"/>
        </w:rPr>
        <w:t>XXXX</w:t>
      </w:r>
      <w:r>
        <w:rPr>
          <w:rFonts w:ascii="黑体"/>
        </w:rPr>
        <w:fldChar w:fldCharType="end"/>
      </w:r>
      <w:bookmarkEnd w:id="19"/>
      <w:r>
        <w:t xml:space="preserve"> </w:t>
      </w:r>
      <w:r>
        <w:rPr>
          <w:rFonts w:ascii="黑体"/>
        </w:rPr>
        <w:t>-</w:t>
      </w:r>
      <w:r>
        <w:t xml:space="preserve"> </w:t>
      </w:r>
      <w:r>
        <w:rPr>
          <w:rFonts w:ascii="黑体"/>
        </w:rPr>
        <w:fldChar w:fldCharType="begin">
          <w:ffData>
            <w:name w:val="SM"/>
            <w:enabled/>
            <w:calcOnExit w:val="0"/>
            <w:textInput>
              <w:default w:val="XX"/>
              <w:maxLength w:val="2"/>
            </w:textInput>
          </w:ffData>
        </w:fldChar>
      </w:r>
      <w:bookmarkStart w:id="20" w:name="SM"/>
      <w:r>
        <w:rPr>
          <w:rFonts w:ascii="黑体"/>
        </w:rPr>
        <w:instrText xml:space="preserve"> FORMTEXT </w:instrText>
      </w:r>
      <w:r>
        <w:rPr>
          <w:rFonts w:ascii="黑体"/>
        </w:rPr>
        <w:fldChar w:fldCharType="separate"/>
      </w:r>
      <w:r>
        <w:rPr>
          <w:rFonts w:ascii="黑体"/>
        </w:rPr>
        <w:t>XX</w:t>
      </w:r>
      <w:r>
        <w:rPr>
          <w:rFonts w:ascii="黑体"/>
        </w:rPr>
        <w:fldChar w:fldCharType="end"/>
      </w:r>
      <w:bookmarkEnd w:id="20"/>
      <w:r>
        <w:t xml:space="preserve"> </w:t>
      </w:r>
      <w:r>
        <w:rPr>
          <w:rFonts w:ascii="黑体"/>
        </w:rPr>
        <w:t>-</w:t>
      </w:r>
      <w:r>
        <w:t xml:space="preserve"> </w:t>
      </w:r>
      <w:r>
        <w:rPr>
          <w:rFonts w:ascii="黑体"/>
        </w:rPr>
        <w:fldChar w:fldCharType="begin">
          <w:ffData>
            <w:name w:val="SD"/>
            <w:enabled/>
            <w:calcOnExit w:val="0"/>
            <w:textInput>
              <w:default w:val="XX"/>
              <w:maxLength w:val="2"/>
            </w:textInput>
          </w:ffData>
        </w:fldChar>
      </w:r>
      <w:bookmarkStart w:id="21" w:name="SD"/>
      <w:r>
        <w:rPr>
          <w:rFonts w:ascii="黑体"/>
        </w:rPr>
        <w:instrText xml:space="preserve"> FORMTEXT </w:instrText>
      </w:r>
      <w:r>
        <w:rPr>
          <w:rFonts w:ascii="黑体"/>
        </w:rPr>
        <w:fldChar w:fldCharType="separate"/>
      </w:r>
      <w:r>
        <w:rPr>
          <w:rFonts w:ascii="黑体"/>
        </w:rPr>
        <w:t>XX</w:t>
      </w:r>
      <w:r>
        <w:rPr>
          <w:rFonts w:ascii="黑体"/>
        </w:rPr>
        <w:fldChar w:fldCharType="end"/>
      </w:r>
      <w:bookmarkEnd w:id="21"/>
      <w:r>
        <w:rPr>
          <w:rFonts w:hint="eastAsia"/>
        </w:rPr>
        <w:t>实施</w:t>
      </w:r>
    </w:p>
    <w:p w14:paraId="733131EC">
      <w:pPr>
        <w:pStyle w:val="55"/>
      </w:pPr>
      <w:r>
        <w:fldChar w:fldCharType="begin">
          <w:ffData>
            <w:name w:val="fm"/>
            <w:enabled/>
            <w:calcOnExit w:val="0"/>
            <w:textInput/>
          </w:ffData>
        </w:fldChar>
      </w:r>
      <w:bookmarkStart w:id="22" w:name="fm"/>
      <w:r>
        <w:instrText xml:space="preserve"> FORMTEXT </w:instrText>
      </w:r>
      <w:r>
        <w:fldChar w:fldCharType="separate"/>
      </w:r>
      <w:r>
        <w:t>     </w:t>
      </w:r>
      <w:r>
        <w:fldChar w:fldCharType="end"/>
      </w:r>
      <w:bookmarkEnd w:id="22"/>
      <w:r>
        <w:rPr>
          <w:rFonts w:hAnsi="黑体"/>
        </w:rPr>
        <w:t>   </w:t>
      </w:r>
      <w:r>
        <w:rPr>
          <w:rStyle w:val="58"/>
          <w:rFonts w:hint="eastAsia"/>
        </w:rPr>
        <w:t>发布</w:t>
      </w:r>
    </w:p>
    <w:p w14:paraId="75449FAD">
      <w:pPr>
        <w:pStyle w:val="57"/>
        <w:sectPr>
          <w:headerReference r:id="rId4" w:type="first"/>
          <w:footerReference r:id="rId5" w:type="first"/>
          <w:headerReference r:id="rId3" w:type="default"/>
          <w:pgSz w:w="11906" w:h="16838"/>
          <w:pgMar w:top="567" w:right="850" w:bottom="1134" w:left="1418" w:header="0" w:footer="0" w:gutter="0"/>
          <w:pgNumType w:fmt="decimal" w:start="1"/>
          <w:cols w:space="720" w:num="1"/>
          <w:docGrid w:type="lines" w:linePitch="312" w:charSpace="0"/>
        </w:sectPr>
      </w:pPr>
      <w:r>
        <mc:AlternateContent>
          <mc:Choice Requires="wps">
            <w:drawing>
              <wp:anchor distT="0" distB="0" distL="114300" distR="114300" simplePos="0" relativeHeight="251664384" behindDoc="0" locked="0" layoutInCell="1" allowOverlap="1">
                <wp:simplePos x="0" y="0"/>
                <wp:positionH relativeFrom="column">
                  <wp:posOffset>-635</wp:posOffset>
                </wp:positionH>
                <wp:positionV relativeFrom="paragraph">
                  <wp:posOffset>2339975</wp:posOffset>
                </wp:positionV>
                <wp:extent cx="6120130" cy="0"/>
                <wp:effectExtent l="0" t="4445" r="0" b="5080"/>
                <wp:wrapNone/>
                <wp:docPr id="6"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1" o:spid="_x0000_s1026" o:spt="20" style="position:absolute;left:0pt;margin-left:-0.05pt;margin-top:184.25pt;height:0pt;width:481.9pt;z-index:251664384;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QkHiX9cA&#10;AAAJAQAADwAAAAAAAAABACAAAAAiAAAAZHJzL2Rvd25yZXYueG1sUEsBAhQAFAAAAAgAh07iQAEO&#10;p5LnAQAA3AMAAA4AAAAAAAAAAQAgAAAAJgEAAGRycy9lMm9Eb2MueG1sUEsFBgAAAAAGAAYAWQEA&#10;AH8FAAAAAA==&#10;">
                <v:fill on="f" focussize="0,0"/>
                <v:stroke color="#000000" joinstyle="round"/>
                <v:imagedata o:title=""/>
                <o:lock v:ext="edit" aspectratio="f"/>
              </v:line>
            </w:pict>
          </mc:Fallback>
        </mc:AlternateContent>
      </w:r>
    </w:p>
    <w:sdt>
      <w:sdtPr>
        <w:rPr>
          <w:rFonts w:ascii="Times New Roman" w:hAnsi="Times New Roman" w:eastAsia="Times New Roman" w:cs="Times New Roman"/>
          <w:color w:val="auto"/>
          <w:sz w:val="24"/>
          <w:szCs w:val="24"/>
          <w:lang w:val="zh-CN" w:eastAsia="en-US" w:bidi="en-US"/>
        </w:rPr>
        <w:id w:val="527753938"/>
        <w:docPartObj>
          <w:docPartGallery w:val="Table of Contents"/>
          <w:docPartUnique/>
        </w:docPartObj>
      </w:sdtPr>
      <w:sdtEndPr>
        <w:rPr>
          <w:rFonts w:ascii="Times New Roman" w:hAnsi="Times New Roman" w:eastAsia="Times New Roman" w:cs="Times New Roman"/>
          <w:b/>
          <w:bCs/>
          <w:color w:val="auto"/>
          <w:sz w:val="24"/>
          <w:szCs w:val="24"/>
          <w:lang w:val="zh-CN" w:eastAsia="en-US" w:bidi="en-US"/>
        </w:rPr>
      </w:sdtEndPr>
      <w:sdtContent>
        <w:p w14:paraId="2A236127">
          <w:pPr>
            <w:pStyle w:val="37"/>
            <w:jc w:val="center"/>
            <w:rPr>
              <w:rFonts w:hint="eastAsia" w:ascii="Times New Roman" w:hAnsi="Times New Roman" w:cs="Times New Roman" w:eastAsiaTheme="majorEastAsia"/>
              <w:color w:val="auto"/>
              <w:lang w:val="en-US" w:eastAsia="zh-CN"/>
            </w:rPr>
          </w:pPr>
          <w:r>
            <w:rPr>
              <w:rFonts w:ascii="Times New Roman" w:hAnsi="Times New Roman" w:cs="Times New Roman"/>
              <w:color w:val="auto"/>
              <w:lang w:val="zh-CN"/>
            </w:rPr>
            <w:t>目</w:t>
          </w:r>
          <w:r>
            <w:rPr>
              <w:rFonts w:hint="eastAsia" w:ascii="Times New Roman" w:hAnsi="Times New Roman" w:cs="Times New Roman"/>
              <w:color w:val="auto"/>
              <w:lang w:val="en-US" w:eastAsia="zh-CN"/>
            </w:rPr>
            <w:t xml:space="preserve"> 次</w:t>
          </w:r>
        </w:p>
        <w:p w14:paraId="18B58181">
          <w:pPr>
            <w:pStyle w:val="7"/>
            <w:tabs>
              <w:tab w:val="right" w:leader="dot" w:pos="8309"/>
            </w:tabs>
          </w:pPr>
          <w:r>
            <w:rPr>
              <w:rFonts w:ascii="宋体" w:hAnsi="宋体" w:eastAsia="宋体"/>
              <w:color w:val="auto"/>
            </w:rPr>
            <w:fldChar w:fldCharType="begin"/>
          </w:r>
          <w:r>
            <w:rPr>
              <w:rFonts w:ascii="宋体" w:hAnsi="宋体" w:eastAsia="宋体"/>
              <w:color w:val="auto"/>
            </w:rPr>
            <w:instrText xml:space="preserve"> TOC \o "1-1" \h \z \u </w:instrText>
          </w:r>
          <w:r>
            <w:rPr>
              <w:rFonts w:ascii="宋体" w:hAnsi="宋体" w:eastAsia="宋体"/>
              <w:color w:val="auto"/>
            </w:rPr>
            <w:fldChar w:fldCharType="separate"/>
          </w:r>
        </w:p>
        <w:p w14:paraId="5D3E750B">
          <w:pPr>
            <w:pStyle w:val="7"/>
            <w:tabs>
              <w:tab w:val="right" w:leader="dot" w:pos="8309"/>
            </w:tabs>
          </w:pPr>
          <w:r>
            <w:rPr>
              <w:rFonts w:ascii="宋体" w:hAnsi="宋体" w:eastAsia="宋体"/>
              <w:color w:val="auto"/>
            </w:rPr>
            <w:fldChar w:fldCharType="begin"/>
          </w:r>
          <w:r>
            <w:rPr>
              <w:rFonts w:ascii="宋体" w:hAnsi="宋体" w:eastAsia="宋体"/>
            </w:rPr>
            <w:instrText xml:space="preserve"> HYPERLINK \l _Toc25251 </w:instrText>
          </w:r>
          <w:r>
            <w:rPr>
              <w:rFonts w:ascii="宋体" w:hAnsi="宋体" w:eastAsia="宋体"/>
            </w:rPr>
            <w:fldChar w:fldCharType="separate"/>
          </w:r>
          <w:r>
            <w:rPr>
              <w:rFonts w:hint="eastAsia"/>
            </w:rPr>
            <w:t>前</w:t>
          </w:r>
          <w:r>
            <w:rPr>
              <w:rFonts w:hAnsi="黑体"/>
            </w:rPr>
            <w:t>  </w:t>
          </w:r>
          <w:r>
            <w:rPr>
              <w:rFonts w:hint="eastAsia"/>
            </w:rPr>
            <w:t>言</w:t>
          </w:r>
          <w:r>
            <w:tab/>
          </w:r>
          <w:r>
            <w:fldChar w:fldCharType="begin"/>
          </w:r>
          <w:r>
            <w:instrText xml:space="preserve"> PAGEREF _Toc25251 \h </w:instrText>
          </w:r>
          <w:r>
            <w:fldChar w:fldCharType="separate"/>
          </w:r>
          <w:r>
            <w:t>II</w:t>
          </w:r>
          <w:r>
            <w:fldChar w:fldCharType="end"/>
          </w:r>
          <w:r>
            <w:rPr>
              <w:rFonts w:ascii="宋体" w:hAnsi="宋体" w:eastAsia="宋体"/>
              <w:color w:val="auto"/>
            </w:rPr>
            <w:fldChar w:fldCharType="end"/>
          </w:r>
        </w:p>
        <w:p w14:paraId="61546672">
          <w:pPr>
            <w:pStyle w:val="7"/>
            <w:tabs>
              <w:tab w:val="right" w:leader="dot" w:pos="8309"/>
            </w:tabs>
          </w:pPr>
          <w:r>
            <w:rPr>
              <w:rFonts w:ascii="宋体" w:hAnsi="宋体" w:eastAsia="宋体"/>
              <w:color w:val="auto"/>
            </w:rPr>
            <w:fldChar w:fldCharType="begin"/>
          </w:r>
          <w:r>
            <w:rPr>
              <w:rFonts w:ascii="宋体" w:hAnsi="宋体" w:eastAsia="宋体"/>
            </w:rPr>
            <w:instrText xml:space="preserve"> HYPERLINK \l _Toc9175 </w:instrText>
          </w:r>
          <w:r>
            <w:rPr>
              <w:rFonts w:ascii="宋体" w:hAnsi="宋体" w:eastAsia="宋体"/>
            </w:rPr>
            <w:fldChar w:fldCharType="separate"/>
          </w:r>
          <w:r>
            <w:rPr>
              <w:rFonts w:hint="eastAsia" w:ascii="Times New Roman" w:hAnsi="Times New Roman" w:cs="Times New Roman"/>
              <w:bCs w:val="0"/>
            </w:rPr>
            <w:t xml:space="preserve">1 </w:t>
          </w:r>
          <w:r>
            <w:rPr>
              <w:rFonts w:ascii="Times New Roman" w:hAnsi="Times New Roman" w:cs="Times New Roman"/>
              <w:bCs w:val="0"/>
            </w:rPr>
            <w:t>范围</w:t>
          </w:r>
          <w:r>
            <w:tab/>
          </w:r>
          <w:r>
            <w:fldChar w:fldCharType="begin"/>
          </w:r>
          <w:r>
            <w:instrText xml:space="preserve"> PAGEREF _Toc9175 \h </w:instrText>
          </w:r>
          <w:r>
            <w:fldChar w:fldCharType="separate"/>
          </w:r>
          <w:r>
            <w:t>1</w:t>
          </w:r>
          <w:r>
            <w:fldChar w:fldCharType="end"/>
          </w:r>
          <w:r>
            <w:rPr>
              <w:rFonts w:ascii="宋体" w:hAnsi="宋体" w:eastAsia="宋体"/>
              <w:color w:val="auto"/>
            </w:rPr>
            <w:fldChar w:fldCharType="end"/>
          </w:r>
        </w:p>
        <w:p w14:paraId="3209E4A4">
          <w:pPr>
            <w:pStyle w:val="7"/>
            <w:tabs>
              <w:tab w:val="right" w:leader="dot" w:pos="8309"/>
            </w:tabs>
          </w:pPr>
          <w:r>
            <w:rPr>
              <w:rFonts w:ascii="宋体" w:hAnsi="宋体" w:eastAsia="宋体"/>
              <w:color w:val="auto"/>
            </w:rPr>
            <w:fldChar w:fldCharType="begin"/>
          </w:r>
          <w:r>
            <w:rPr>
              <w:rFonts w:ascii="宋体" w:hAnsi="宋体" w:eastAsia="宋体"/>
            </w:rPr>
            <w:instrText xml:space="preserve"> HYPERLINK \l _Toc24439 </w:instrText>
          </w:r>
          <w:r>
            <w:rPr>
              <w:rFonts w:ascii="宋体" w:hAnsi="宋体" w:eastAsia="宋体"/>
            </w:rPr>
            <w:fldChar w:fldCharType="separate"/>
          </w:r>
          <w:r>
            <w:rPr>
              <w:rFonts w:hint="eastAsia" w:ascii="Times New Roman" w:hAnsi="Times New Roman" w:cs="Times New Roman"/>
              <w:bCs w:val="0"/>
            </w:rPr>
            <w:t xml:space="preserve">2 </w:t>
          </w:r>
          <w:r>
            <w:rPr>
              <w:rFonts w:ascii="Times New Roman" w:hAnsi="Times New Roman" w:cs="Times New Roman"/>
              <w:bCs w:val="0"/>
            </w:rPr>
            <w:t>规范性引用文件</w:t>
          </w:r>
          <w:r>
            <w:tab/>
          </w:r>
          <w:r>
            <w:fldChar w:fldCharType="begin"/>
          </w:r>
          <w:r>
            <w:instrText xml:space="preserve"> PAGEREF _Toc24439 \h </w:instrText>
          </w:r>
          <w:r>
            <w:fldChar w:fldCharType="separate"/>
          </w:r>
          <w:r>
            <w:t>1</w:t>
          </w:r>
          <w:r>
            <w:fldChar w:fldCharType="end"/>
          </w:r>
          <w:r>
            <w:rPr>
              <w:rFonts w:ascii="宋体" w:hAnsi="宋体" w:eastAsia="宋体"/>
              <w:color w:val="auto"/>
            </w:rPr>
            <w:fldChar w:fldCharType="end"/>
          </w:r>
        </w:p>
        <w:p w14:paraId="39BC6235">
          <w:pPr>
            <w:pStyle w:val="7"/>
            <w:tabs>
              <w:tab w:val="right" w:leader="dot" w:pos="8309"/>
            </w:tabs>
          </w:pPr>
          <w:r>
            <w:rPr>
              <w:rFonts w:ascii="宋体" w:hAnsi="宋体" w:eastAsia="宋体"/>
              <w:color w:val="auto"/>
            </w:rPr>
            <w:fldChar w:fldCharType="begin"/>
          </w:r>
          <w:r>
            <w:rPr>
              <w:rFonts w:ascii="宋体" w:hAnsi="宋体" w:eastAsia="宋体"/>
            </w:rPr>
            <w:instrText xml:space="preserve"> HYPERLINK \l _Toc7248 </w:instrText>
          </w:r>
          <w:r>
            <w:rPr>
              <w:rFonts w:ascii="宋体" w:hAnsi="宋体" w:eastAsia="宋体"/>
            </w:rPr>
            <w:fldChar w:fldCharType="separate"/>
          </w:r>
          <w:r>
            <w:rPr>
              <w:rFonts w:hint="eastAsia" w:ascii="Times New Roman" w:hAnsi="Times New Roman" w:cs="Times New Roman"/>
              <w:bCs w:val="0"/>
            </w:rPr>
            <w:t xml:space="preserve">3 </w:t>
          </w:r>
          <w:r>
            <w:rPr>
              <w:rFonts w:ascii="Times New Roman" w:hAnsi="Times New Roman" w:cs="Times New Roman"/>
              <w:bCs w:val="0"/>
            </w:rPr>
            <w:t>术语和定义</w:t>
          </w:r>
          <w:r>
            <w:tab/>
          </w:r>
          <w:r>
            <w:fldChar w:fldCharType="begin"/>
          </w:r>
          <w:r>
            <w:instrText xml:space="preserve"> PAGEREF _Toc7248 \h </w:instrText>
          </w:r>
          <w:r>
            <w:fldChar w:fldCharType="separate"/>
          </w:r>
          <w:r>
            <w:t>2</w:t>
          </w:r>
          <w:r>
            <w:fldChar w:fldCharType="end"/>
          </w:r>
          <w:r>
            <w:rPr>
              <w:rFonts w:ascii="宋体" w:hAnsi="宋体" w:eastAsia="宋体"/>
              <w:color w:val="auto"/>
            </w:rPr>
            <w:fldChar w:fldCharType="end"/>
          </w:r>
        </w:p>
        <w:p w14:paraId="5EE4EB26">
          <w:pPr>
            <w:pStyle w:val="7"/>
            <w:tabs>
              <w:tab w:val="right" w:leader="dot" w:pos="8309"/>
            </w:tabs>
          </w:pPr>
          <w:r>
            <w:rPr>
              <w:rFonts w:ascii="宋体" w:hAnsi="宋体" w:eastAsia="宋体"/>
              <w:color w:val="auto"/>
            </w:rPr>
            <w:fldChar w:fldCharType="begin"/>
          </w:r>
          <w:r>
            <w:rPr>
              <w:rFonts w:ascii="宋体" w:hAnsi="宋体" w:eastAsia="宋体"/>
            </w:rPr>
            <w:instrText xml:space="preserve"> HYPERLINK \l _Toc3655 </w:instrText>
          </w:r>
          <w:r>
            <w:rPr>
              <w:rFonts w:ascii="宋体" w:hAnsi="宋体" w:eastAsia="宋体"/>
            </w:rPr>
            <w:fldChar w:fldCharType="separate"/>
          </w:r>
          <w:r>
            <w:rPr>
              <w:rFonts w:hint="eastAsia" w:ascii="Times New Roman" w:hAnsi="Times New Roman" w:cs="Times New Roman"/>
              <w:bCs w:val="0"/>
            </w:rPr>
            <w:t xml:space="preserve">4 </w:t>
          </w:r>
          <w:r>
            <w:rPr>
              <w:rFonts w:ascii="Times New Roman" w:hAnsi="Times New Roman" w:cs="Times New Roman"/>
              <w:bCs w:val="0"/>
            </w:rPr>
            <w:t>食品相关产品质量安全管理体系</w:t>
          </w:r>
          <w:r>
            <w:tab/>
          </w:r>
          <w:r>
            <w:fldChar w:fldCharType="begin"/>
          </w:r>
          <w:r>
            <w:instrText xml:space="preserve"> PAGEREF _Toc3655 \h </w:instrText>
          </w:r>
          <w:r>
            <w:fldChar w:fldCharType="separate"/>
          </w:r>
          <w:r>
            <w:t>2</w:t>
          </w:r>
          <w:r>
            <w:fldChar w:fldCharType="end"/>
          </w:r>
          <w:r>
            <w:rPr>
              <w:rFonts w:ascii="宋体" w:hAnsi="宋体" w:eastAsia="宋体"/>
              <w:color w:val="auto"/>
            </w:rPr>
            <w:fldChar w:fldCharType="end"/>
          </w:r>
        </w:p>
        <w:p w14:paraId="50D880EB">
          <w:pPr>
            <w:pStyle w:val="7"/>
            <w:tabs>
              <w:tab w:val="right" w:leader="dot" w:pos="8309"/>
            </w:tabs>
          </w:pPr>
          <w:r>
            <w:rPr>
              <w:rFonts w:ascii="宋体" w:hAnsi="宋体" w:eastAsia="宋体"/>
              <w:color w:val="auto"/>
            </w:rPr>
            <w:fldChar w:fldCharType="begin"/>
          </w:r>
          <w:r>
            <w:rPr>
              <w:rFonts w:ascii="宋体" w:hAnsi="宋体" w:eastAsia="宋体"/>
            </w:rPr>
            <w:instrText xml:space="preserve"> HYPERLINK \l _Toc6094 </w:instrText>
          </w:r>
          <w:r>
            <w:rPr>
              <w:rFonts w:ascii="宋体" w:hAnsi="宋体" w:eastAsia="宋体"/>
            </w:rPr>
            <w:fldChar w:fldCharType="separate"/>
          </w:r>
          <w:r>
            <w:rPr>
              <w:rFonts w:hint="eastAsia" w:ascii="Times New Roman" w:hAnsi="Times New Roman" w:cs="Times New Roman"/>
              <w:bCs w:val="0"/>
            </w:rPr>
            <w:t xml:space="preserve">5 </w:t>
          </w:r>
          <w:r>
            <w:rPr>
              <w:rFonts w:ascii="Times New Roman" w:hAnsi="Times New Roman" w:cs="Times New Roman"/>
              <w:bCs w:val="0"/>
            </w:rPr>
            <w:t>诚信管理体系</w:t>
          </w:r>
          <w:r>
            <w:tab/>
          </w:r>
          <w:r>
            <w:fldChar w:fldCharType="begin"/>
          </w:r>
          <w:r>
            <w:instrText xml:space="preserve"> PAGEREF _Toc6094 \h </w:instrText>
          </w:r>
          <w:r>
            <w:fldChar w:fldCharType="separate"/>
          </w:r>
          <w:r>
            <w:t>3</w:t>
          </w:r>
          <w:r>
            <w:fldChar w:fldCharType="end"/>
          </w:r>
          <w:r>
            <w:rPr>
              <w:rFonts w:ascii="宋体" w:hAnsi="宋体" w:eastAsia="宋体"/>
              <w:color w:val="auto"/>
            </w:rPr>
            <w:fldChar w:fldCharType="end"/>
          </w:r>
        </w:p>
        <w:p w14:paraId="1E108B54">
          <w:pPr>
            <w:pStyle w:val="7"/>
            <w:tabs>
              <w:tab w:val="right" w:leader="dot" w:pos="8309"/>
            </w:tabs>
          </w:pPr>
          <w:r>
            <w:rPr>
              <w:rFonts w:ascii="宋体" w:hAnsi="宋体" w:eastAsia="宋体"/>
              <w:color w:val="auto"/>
            </w:rPr>
            <w:fldChar w:fldCharType="begin"/>
          </w:r>
          <w:r>
            <w:rPr>
              <w:rFonts w:ascii="宋体" w:hAnsi="宋体" w:eastAsia="宋体"/>
            </w:rPr>
            <w:instrText xml:space="preserve"> HYPERLINK \l _Toc4647 </w:instrText>
          </w:r>
          <w:r>
            <w:rPr>
              <w:rFonts w:ascii="宋体" w:hAnsi="宋体" w:eastAsia="宋体"/>
            </w:rPr>
            <w:fldChar w:fldCharType="separate"/>
          </w:r>
          <w:r>
            <w:rPr>
              <w:rFonts w:hint="eastAsia" w:ascii="Times New Roman" w:hAnsi="Times New Roman" w:cs="Times New Roman"/>
              <w:bCs w:val="0"/>
            </w:rPr>
            <w:t xml:space="preserve">6 </w:t>
          </w:r>
          <w:r>
            <w:rPr>
              <w:rFonts w:ascii="Times New Roman" w:hAnsi="Times New Roman" w:cs="Times New Roman"/>
              <w:bCs w:val="0"/>
            </w:rPr>
            <w:t>组织机构</w:t>
          </w:r>
          <w:r>
            <w:tab/>
          </w:r>
          <w:r>
            <w:fldChar w:fldCharType="begin"/>
          </w:r>
          <w:r>
            <w:instrText xml:space="preserve"> PAGEREF _Toc4647 \h </w:instrText>
          </w:r>
          <w:r>
            <w:fldChar w:fldCharType="separate"/>
          </w:r>
          <w:r>
            <w:t>3</w:t>
          </w:r>
          <w:r>
            <w:fldChar w:fldCharType="end"/>
          </w:r>
          <w:r>
            <w:rPr>
              <w:rFonts w:ascii="宋体" w:hAnsi="宋体" w:eastAsia="宋体"/>
              <w:color w:val="auto"/>
            </w:rPr>
            <w:fldChar w:fldCharType="end"/>
          </w:r>
        </w:p>
        <w:p w14:paraId="00837ADB">
          <w:pPr>
            <w:pStyle w:val="7"/>
            <w:tabs>
              <w:tab w:val="right" w:leader="dot" w:pos="8309"/>
            </w:tabs>
          </w:pPr>
          <w:r>
            <w:rPr>
              <w:rFonts w:ascii="宋体" w:hAnsi="宋体" w:eastAsia="宋体"/>
              <w:color w:val="auto"/>
            </w:rPr>
            <w:fldChar w:fldCharType="begin"/>
          </w:r>
          <w:r>
            <w:rPr>
              <w:rFonts w:ascii="宋体" w:hAnsi="宋体" w:eastAsia="宋体"/>
            </w:rPr>
            <w:instrText xml:space="preserve"> HYPERLINK \l _Toc32451 </w:instrText>
          </w:r>
          <w:r>
            <w:rPr>
              <w:rFonts w:ascii="宋体" w:hAnsi="宋体" w:eastAsia="宋体"/>
            </w:rPr>
            <w:fldChar w:fldCharType="separate"/>
          </w:r>
          <w:r>
            <w:rPr>
              <w:rFonts w:hint="eastAsia" w:ascii="Times New Roman" w:hAnsi="Times New Roman" w:cs="Times New Roman"/>
              <w:bCs w:val="0"/>
            </w:rPr>
            <w:t xml:space="preserve">7 </w:t>
          </w:r>
          <w:r>
            <w:rPr>
              <w:rFonts w:ascii="Times New Roman" w:hAnsi="Times New Roman" w:cs="Times New Roman"/>
              <w:bCs w:val="0"/>
            </w:rPr>
            <w:t>基础设施与卫生管理</w:t>
          </w:r>
          <w:r>
            <w:tab/>
          </w:r>
          <w:r>
            <w:fldChar w:fldCharType="begin"/>
          </w:r>
          <w:r>
            <w:instrText xml:space="preserve"> PAGEREF _Toc32451 \h </w:instrText>
          </w:r>
          <w:r>
            <w:fldChar w:fldCharType="separate"/>
          </w:r>
          <w:r>
            <w:t>4</w:t>
          </w:r>
          <w:r>
            <w:fldChar w:fldCharType="end"/>
          </w:r>
          <w:r>
            <w:rPr>
              <w:rFonts w:ascii="宋体" w:hAnsi="宋体" w:eastAsia="宋体"/>
              <w:color w:val="auto"/>
            </w:rPr>
            <w:fldChar w:fldCharType="end"/>
          </w:r>
        </w:p>
        <w:p w14:paraId="3B17F7ED">
          <w:pPr>
            <w:pStyle w:val="7"/>
            <w:tabs>
              <w:tab w:val="right" w:leader="dot" w:pos="8309"/>
            </w:tabs>
          </w:pPr>
          <w:r>
            <w:rPr>
              <w:rFonts w:ascii="宋体" w:hAnsi="宋体" w:eastAsia="宋体"/>
              <w:color w:val="auto"/>
            </w:rPr>
            <w:fldChar w:fldCharType="begin"/>
          </w:r>
          <w:r>
            <w:rPr>
              <w:rFonts w:ascii="宋体" w:hAnsi="宋体" w:eastAsia="宋体"/>
            </w:rPr>
            <w:instrText xml:space="preserve"> HYPERLINK \l _Toc1190 </w:instrText>
          </w:r>
          <w:r>
            <w:rPr>
              <w:rFonts w:ascii="宋体" w:hAnsi="宋体" w:eastAsia="宋体"/>
            </w:rPr>
            <w:fldChar w:fldCharType="separate"/>
          </w:r>
          <w:r>
            <w:rPr>
              <w:rFonts w:hint="eastAsia" w:ascii="Times New Roman" w:hAnsi="Times New Roman" w:cs="Times New Roman"/>
              <w:bCs w:val="0"/>
            </w:rPr>
            <w:t xml:space="preserve">8 </w:t>
          </w:r>
          <w:r>
            <w:rPr>
              <w:rFonts w:ascii="Times New Roman" w:hAnsi="Times New Roman" w:cs="Times New Roman"/>
              <w:bCs w:val="0"/>
            </w:rPr>
            <w:t>设备</w:t>
          </w:r>
          <w:r>
            <w:tab/>
          </w:r>
          <w:r>
            <w:fldChar w:fldCharType="begin"/>
          </w:r>
          <w:r>
            <w:instrText xml:space="preserve"> PAGEREF _Toc1190 \h </w:instrText>
          </w:r>
          <w:r>
            <w:fldChar w:fldCharType="separate"/>
          </w:r>
          <w:r>
            <w:t>5</w:t>
          </w:r>
          <w:r>
            <w:fldChar w:fldCharType="end"/>
          </w:r>
          <w:r>
            <w:rPr>
              <w:rFonts w:ascii="宋体" w:hAnsi="宋体" w:eastAsia="宋体"/>
              <w:color w:val="auto"/>
            </w:rPr>
            <w:fldChar w:fldCharType="end"/>
          </w:r>
        </w:p>
        <w:p w14:paraId="53D97037">
          <w:pPr>
            <w:pStyle w:val="7"/>
            <w:tabs>
              <w:tab w:val="right" w:leader="dot" w:pos="8309"/>
            </w:tabs>
          </w:pPr>
          <w:r>
            <w:rPr>
              <w:rFonts w:ascii="宋体" w:hAnsi="宋体" w:eastAsia="宋体"/>
              <w:color w:val="auto"/>
            </w:rPr>
            <w:fldChar w:fldCharType="begin"/>
          </w:r>
          <w:r>
            <w:rPr>
              <w:rFonts w:ascii="宋体" w:hAnsi="宋体" w:eastAsia="宋体"/>
            </w:rPr>
            <w:instrText xml:space="preserve"> HYPERLINK \l _Toc13255 </w:instrText>
          </w:r>
          <w:r>
            <w:rPr>
              <w:rFonts w:ascii="宋体" w:hAnsi="宋体" w:eastAsia="宋体"/>
            </w:rPr>
            <w:fldChar w:fldCharType="separate"/>
          </w:r>
          <w:r>
            <w:rPr>
              <w:rFonts w:hint="eastAsia" w:ascii="Times New Roman" w:hAnsi="Times New Roman" w:cs="Times New Roman"/>
              <w:bCs w:val="0"/>
            </w:rPr>
            <w:t xml:space="preserve">9 </w:t>
          </w:r>
          <w:r>
            <w:rPr>
              <w:rFonts w:ascii="Times New Roman" w:hAnsi="Times New Roman" w:cs="Times New Roman"/>
              <w:bCs w:val="0"/>
            </w:rPr>
            <w:t>人员</w:t>
          </w:r>
          <w:r>
            <w:tab/>
          </w:r>
          <w:r>
            <w:fldChar w:fldCharType="begin"/>
          </w:r>
          <w:r>
            <w:instrText xml:space="preserve"> PAGEREF _Toc13255 \h </w:instrText>
          </w:r>
          <w:r>
            <w:fldChar w:fldCharType="separate"/>
          </w:r>
          <w:r>
            <w:t>5</w:t>
          </w:r>
          <w:r>
            <w:fldChar w:fldCharType="end"/>
          </w:r>
          <w:r>
            <w:rPr>
              <w:rFonts w:ascii="宋体" w:hAnsi="宋体" w:eastAsia="宋体"/>
              <w:color w:val="auto"/>
            </w:rPr>
            <w:fldChar w:fldCharType="end"/>
          </w:r>
        </w:p>
        <w:p w14:paraId="14E88E78">
          <w:pPr>
            <w:pStyle w:val="7"/>
            <w:tabs>
              <w:tab w:val="right" w:leader="dot" w:pos="8309"/>
            </w:tabs>
          </w:pPr>
          <w:r>
            <w:rPr>
              <w:rFonts w:ascii="宋体" w:hAnsi="宋体" w:eastAsia="宋体"/>
              <w:color w:val="auto"/>
            </w:rPr>
            <w:fldChar w:fldCharType="begin"/>
          </w:r>
          <w:r>
            <w:rPr>
              <w:rFonts w:ascii="宋体" w:hAnsi="宋体" w:eastAsia="宋体"/>
            </w:rPr>
            <w:instrText xml:space="preserve"> HYPERLINK \l _Toc14397 </w:instrText>
          </w:r>
          <w:r>
            <w:rPr>
              <w:rFonts w:ascii="宋体" w:hAnsi="宋体" w:eastAsia="宋体"/>
            </w:rPr>
            <w:fldChar w:fldCharType="separate"/>
          </w:r>
          <w:r>
            <w:rPr>
              <w:rFonts w:hint="eastAsia" w:ascii="Times New Roman" w:hAnsi="Times New Roman" w:cs="Times New Roman"/>
              <w:bCs w:val="0"/>
            </w:rPr>
            <w:t xml:space="preserve">10 </w:t>
          </w:r>
          <w:r>
            <w:rPr>
              <w:rFonts w:ascii="Times New Roman" w:hAnsi="Times New Roman" w:cs="Times New Roman"/>
              <w:bCs w:val="0"/>
            </w:rPr>
            <w:t>物料</w:t>
          </w:r>
          <w:r>
            <w:tab/>
          </w:r>
          <w:r>
            <w:fldChar w:fldCharType="begin"/>
          </w:r>
          <w:r>
            <w:instrText xml:space="preserve"> PAGEREF _Toc14397 \h </w:instrText>
          </w:r>
          <w:r>
            <w:fldChar w:fldCharType="separate"/>
          </w:r>
          <w:r>
            <w:t>5</w:t>
          </w:r>
          <w:r>
            <w:fldChar w:fldCharType="end"/>
          </w:r>
          <w:r>
            <w:rPr>
              <w:rFonts w:ascii="宋体" w:hAnsi="宋体" w:eastAsia="宋体"/>
              <w:color w:val="auto"/>
            </w:rPr>
            <w:fldChar w:fldCharType="end"/>
          </w:r>
        </w:p>
        <w:p w14:paraId="2EC27425">
          <w:pPr>
            <w:pStyle w:val="7"/>
            <w:tabs>
              <w:tab w:val="right" w:leader="dot" w:pos="8309"/>
            </w:tabs>
          </w:pPr>
          <w:r>
            <w:rPr>
              <w:rFonts w:ascii="宋体" w:hAnsi="宋体" w:eastAsia="宋体"/>
              <w:color w:val="auto"/>
            </w:rPr>
            <w:fldChar w:fldCharType="begin"/>
          </w:r>
          <w:r>
            <w:rPr>
              <w:rFonts w:ascii="宋体" w:hAnsi="宋体" w:eastAsia="宋体"/>
            </w:rPr>
            <w:instrText xml:space="preserve"> HYPERLINK \l _Toc14523 </w:instrText>
          </w:r>
          <w:r>
            <w:rPr>
              <w:rFonts w:ascii="宋体" w:hAnsi="宋体" w:eastAsia="宋体"/>
            </w:rPr>
            <w:fldChar w:fldCharType="separate"/>
          </w:r>
          <w:r>
            <w:rPr>
              <w:rFonts w:hint="eastAsia" w:ascii="Times New Roman" w:hAnsi="Times New Roman" w:cs="Times New Roman"/>
              <w:bCs w:val="0"/>
            </w:rPr>
            <w:t xml:space="preserve">11 </w:t>
          </w:r>
          <w:r>
            <w:rPr>
              <w:rFonts w:ascii="Times New Roman" w:hAnsi="Times New Roman" w:cs="Times New Roman"/>
              <w:bCs w:val="0"/>
            </w:rPr>
            <w:t>生产过程产品安全控制</w:t>
          </w:r>
          <w:r>
            <w:tab/>
          </w:r>
          <w:r>
            <w:fldChar w:fldCharType="begin"/>
          </w:r>
          <w:r>
            <w:instrText xml:space="preserve"> PAGEREF _Toc14523 \h </w:instrText>
          </w:r>
          <w:r>
            <w:fldChar w:fldCharType="separate"/>
          </w:r>
          <w:r>
            <w:t>6</w:t>
          </w:r>
          <w:r>
            <w:fldChar w:fldCharType="end"/>
          </w:r>
          <w:r>
            <w:rPr>
              <w:rFonts w:ascii="宋体" w:hAnsi="宋体" w:eastAsia="宋体"/>
              <w:color w:val="auto"/>
            </w:rPr>
            <w:fldChar w:fldCharType="end"/>
          </w:r>
        </w:p>
        <w:p w14:paraId="375EB449">
          <w:pPr>
            <w:pStyle w:val="7"/>
            <w:tabs>
              <w:tab w:val="right" w:leader="dot" w:pos="8309"/>
            </w:tabs>
          </w:pPr>
          <w:r>
            <w:rPr>
              <w:rFonts w:ascii="宋体" w:hAnsi="宋体" w:eastAsia="宋体"/>
              <w:color w:val="auto"/>
            </w:rPr>
            <w:fldChar w:fldCharType="begin"/>
          </w:r>
          <w:r>
            <w:rPr>
              <w:rFonts w:ascii="宋体" w:hAnsi="宋体" w:eastAsia="宋体"/>
            </w:rPr>
            <w:instrText xml:space="preserve"> HYPERLINK \l _Toc846 </w:instrText>
          </w:r>
          <w:r>
            <w:rPr>
              <w:rFonts w:ascii="宋体" w:hAnsi="宋体" w:eastAsia="宋体"/>
            </w:rPr>
            <w:fldChar w:fldCharType="separate"/>
          </w:r>
          <w:r>
            <w:rPr>
              <w:rFonts w:hint="eastAsia" w:ascii="Times New Roman" w:hAnsi="Times New Roman" w:cs="Times New Roman"/>
              <w:bCs w:val="0"/>
            </w:rPr>
            <w:t xml:space="preserve">12 </w:t>
          </w:r>
          <w:r>
            <w:rPr>
              <w:rFonts w:ascii="Times New Roman" w:hAnsi="Times New Roman" w:cs="Times New Roman"/>
              <w:bCs w:val="0"/>
            </w:rPr>
            <w:t>检验</w:t>
          </w:r>
          <w:r>
            <w:tab/>
          </w:r>
          <w:r>
            <w:fldChar w:fldCharType="begin"/>
          </w:r>
          <w:r>
            <w:instrText xml:space="preserve"> PAGEREF _Toc846 \h </w:instrText>
          </w:r>
          <w:r>
            <w:fldChar w:fldCharType="separate"/>
          </w:r>
          <w:r>
            <w:t>7</w:t>
          </w:r>
          <w:r>
            <w:fldChar w:fldCharType="end"/>
          </w:r>
          <w:r>
            <w:rPr>
              <w:rFonts w:ascii="宋体" w:hAnsi="宋体" w:eastAsia="宋体"/>
              <w:color w:val="auto"/>
            </w:rPr>
            <w:fldChar w:fldCharType="end"/>
          </w:r>
        </w:p>
        <w:p w14:paraId="370FBBE7">
          <w:pPr>
            <w:pStyle w:val="7"/>
            <w:tabs>
              <w:tab w:val="right" w:leader="dot" w:pos="8309"/>
            </w:tabs>
          </w:pPr>
          <w:r>
            <w:rPr>
              <w:rFonts w:ascii="宋体" w:hAnsi="宋体" w:eastAsia="宋体"/>
              <w:color w:val="auto"/>
            </w:rPr>
            <w:fldChar w:fldCharType="begin"/>
          </w:r>
          <w:r>
            <w:rPr>
              <w:rFonts w:ascii="宋体" w:hAnsi="宋体" w:eastAsia="宋体"/>
            </w:rPr>
            <w:instrText xml:space="preserve"> HYPERLINK \l _Toc7779 </w:instrText>
          </w:r>
          <w:r>
            <w:rPr>
              <w:rFonts w:ascii="宋体" w:hAnsi="宋体" w:eastAsia="宋体"/>
            </w:rPr>
            <w:fldChar w:fldCharType="separate"/>
          </w:r>
          <w:r>
            <w:rPr>
              <w:rFonts w:hint="eastAsia" w:ascii="Times New Roman" w:hAnsi="Times New Roman" w:cs="Times New Roman"/>
              <w:bCs w:val="0"/>
            </w:rPr>
            <w:t xml:space="preserve">13 </w:t>
          </w:r>
          <w:r>
            <w:rPr>
              <w:rFonts w:ascii="Times New Roman" w:hAnsi="Times New Roman" w:cs="Times New Roman"/>
              <w:bCs w:val="0"/>
            </w:rPr>
            <w:t>追溯召回与投诉</w:t>
          </w:r>
          <w:r>
            <w:tab/>
          </w:r>
          <w:r>
            <w:fldChar w:fldCharType="begin"/>
          </w:r>
          <w:r>
            <w:instrText xml:space="preserve"> PAGEREF _Toc7779 \h </w:instrText>
          </w:r>
          <w:r>
            <w:fldChar w:fldCharType="separate"/>
          </w:r>
          <w:r>
            <w:t>7</w:t>
          </w:r>
          <w:r>
            <w:fldChar w:fldCharType="end"/>
          </w:r>
          <w:r>
            <w:rPr>
              <w:rFonts w:ascii="宋体" w:hAnsi="宋体" w:eastAsia="宋体"/>
              <w:color w:val="auto"/>
            </w:rPr>
            <w:fldChar w:fldCharType="end"/>
          </w:r>
        </w:p>
        <w:p w14:paraId="29B13E7F">
          <w:pPr>
            <w:pStyle w:val="7"/>
            <w:tabs>
              <w:tab w:val="right" w:leader="dot" w:pos="8309"/>
            </w:tabs>
          </w:pPr>
          <w:r>
            <w:rPr>
              <w:rFonts w:ascii="宋体" w:hAnsi="宋体" w:eastAsia="宋体"/>
              <w:color w:val="auto"/>
            </w:rPr>
            <w:fldChar w:fldCharType="begin"/>
          </w:r>
          <w:r>
            <w:rPr>
              <w:rFonts w:ascii="宋体" w:hAnsi="宋体" w:eastAsia="宋体"/>
            </w:rPr>
            <w:instrText xml:space="preserve"> HYPERLINK \l _Toc32743 </w:instrText>
          </w:r>
          <w:r>
            <w:rPr>
              <w:rFonts w:ascii="宋体" w:hAnsi="宋体" w:eastAsia="宋体"/>
            </w:rPr>
            <w:fldChar w:fldCharType="separate"/>
          </w:r>
          <w:r>
            <w:rPr>
              <w:rFonts w:hint="eastAsia" w:ascii="Times New Roman" w:hAnsi="Times New Roman" w:cs="Times New Roman"/>
              <w:bCs w:val="0"/>
            </w:rPr>
            <w:t xml:space="preserve">14 </w:t>
          </w:r>
          <w:r>
            <w:rPr>
              <w:rFonts w:ascii="Times New Roman" w:hAnsi="Times New Roman" w:cs="Times New Roman"/>
              <w:bCs w:val="0"/>
            </w:rPr>
            <w:t>不合格产品管理</w:t>
          </w:r>
          <w:r>
            <w:tab/>
          </w:r>
          <w:r>
            <w:fldChar w:fldCharType="begin"/>
          </w:r>
          <w:r>
            <w:instrText xml:space="preserve"> PAGEREF _Toc32743 \h </w:instrText>
          </w:r>
          <w:r>
            <w:fldChar w:fldCharType="separate"/>
          </w:r>
          <w:r>
            <w:t>7</w:t>
          </w:r>
          <w:r>
            <w:fldChar w:fldCharType="end"/>
          </w:r>
          <w:r>
            <w:rPr>
              <w:rFonts w:ascii="宋体" w:hAnsi="宋体" w:eastAsia="宋体"/>
              <w:color w:val="auto"/>
            </w:rPr>
            <w:fldChar w:fldCharType="end"/>
          </w:r>
        </w:p>
        <w:p w14:paraId="50379189">
          <w:pPr>
            <w:pStyle w:val="7"/>
            <w:tabs>
              <w:tab w:val="right" w:leader="dot" w:pos="8309"/>
            </w:tabs>
          </w:pPr>
          <w:r>
            <w:rPr>
              <w:rFonts w:ascii="宋体" w:hAnsi="宋体" w:eastAsia="宋体"/>
              <w:color w:val="auto"/>
            </w:rPr>
            <w:fldChar w:fldCharType="begin"/>
          </w:r>
          <w:r>
            <w:rPr>
              <w:rFonts w:ascii="宋体" w:hAnsi="宋体" w:eastAsia="宋体"/>
            </w:rPr>
            <w:instrText xml:space="preserve"> HYPERLINK \l _Toc6529 </w:instrText>
          </w:r>
          <w:r>
            <w:rPr>
              <w:rFonts w:ascii="宋体" w:hAnsi="宋体" w:eastAsia="宋体"/>
            </w:rPr>
            <w:fldChar w:fldCharType="separate"/>
          </w:r>
          <w:r>
            <w:rPr>
              <w:rFonts w:hint="eastAsia" w:ascii="Times New Roman" w:hAnsi="Times New Roman" w:cs="Times New Roman"/>
              <w:bCs w:val="0"/>
            </w:rPr>
            <w:t xml:space="preserve">15 </w:t>
          </w:r>
          <w:r>
            <w:rPr>
              <w:rFonts w:ascii="Times New Roman" w:hAnsi="Times New Roman" w:cs="Times New Roman"/>
              <w:bCs w:val="0"/>
            </w:rPr>
            <w:t>文件和记录管理</w:t>
          </w:r>
          <w:r>
            <w:tab/>
          </w:r>
          <w:r>
            <w:fldChar w:fldCharType="begin"/>
          </w:r>
          <w:r>
            <w:instrText xml:space="preserve"> PAGEREF _Toc6529 \h </w:instrText>
          </w:r>
          <w:r>
            <w:fldChar w:fldCharType="separate"/>
          </w:r>
          <w:r>
            <w:t>8</w:t>
          </w:r>
          <w:r>
            <w:fldChar w:fldCharType="end"/>
          </w:r>
          <w:r>
            <w:rPr>
              <w:rFonts w:ascii="宋体" w:hAnsi="宋体" w:eastAsia="宋体"/>
              <w:color w:val="auto"/>
            </w:rPr>
            <w:fldChar w:fldCharType="end"/>
          </w:r>
        </w:p>
        <w:p w14:paraId="6CEE90CC">
          <w:pPr>
            <w:pStyle w:val="7"/>
            <w:tabs>
              <w:tab w:val="right" w:leader="dot" w:pos="8309"/>
            </w:tabs>
          </w:pPr>
          <w:r>
            <w:rPr>
              <w:rFonts w:ascii="宋体" w:hAnsi="宋体" w:eastAsia="宋体"/>
              <w:color w:val="auto"/>
            </w:rPr>
            <w:fldChar w:fldCharType="begin"/>
          </w:r>
          <w:r>
            <w:rPr>
              <w:rFonts w:ascii="宋体" w:hAnsi="宋体" w:eastAsia="宋体"/>
            </w:rPr>
            <w:instrText xml:space="preserve"> HYPERLINK \l _Toc20206 </w:instrText>
          </w:r>
          <w:r>
            <w:rPr>
              <w:rFonts w:ascii="宋体" w:hAnsi="宋体" w:eastAsia="宋体"/>
            </w:rPr>
            <w:fldChar w:fldCharType="separate"/>
          </w:r>
          <w:r>
            <w:rPr>
              <w:rFonts w:ascii="Times New Roman" w:hAnsi="Times New Roman" w:cs="Times New Roman"/>
              <w:bCs w:val="0"/>
            </w:rPr>
            <w:t>附 录 A</w:t>
          </w:r>
          <w:r>
            <w:tab/>
          </w:r>
          <w:r>
            <w:fldChar w:fldCharType="begin"/>
          </w:r>
          <w:r>
            <w:instrText xml:space="preserve"> PAGEREF _Toc20206 \h </w:instrText>
          </w:r>
          <w:r>
            <w:fldChar w:fldCharType="separate"/>
          </w:r>
          <w:r>
            <w:t>9</w:t>
          </w:r>
          <w:r>
            <w:fldChar w:fldCharType="end"/>
          </w:r>
          <w:r>
            <w:rPr>
              <w:rFonts w:ascii="宋体" w:hAnsi="宋体" w:eastAsia="宋体"/>
              <w:color w:val="auto"/>
            </w:rPr>
            <w:fldChar w:fldCharType="end"/>
          </w:r>
        </w:p>
        <w:p w14:paraId="1ED5E962">
          <w:pPr>
            <w:pStyle w:val="7"/>
            <w:tabs>
              <w:tab w:val="right" w:leader="dot" w:pos="8309"/>
            </w:tabs>
          </w:pPr>
          <w:r>
            <w:rPr>
              <w:rFonts w:ascii="宋体" w:hAnsi="宋体" w:eastAsia="宋体"/>
              <w:color w:val="auto"/>
            </w:rPr>
            <w:fldChar w:fldCharType="begin"/>
          </w:r>
          <w:r>
            <w:rPr>
              <w:rFonts w:ascii="宋体" w:hAnsi="宋体" w:eastAsia="宋体"/>
            </w:rPr>
            <w:instrText xml:space="preserve"> HYPERLINK \l _Toc12777 </w:instrText>
          </w:r>
          <w:r>
            <w:rPr>
              <w:rFonts w:ascii="宋体" w:hAnsi="宋体" w:eastAsia="宋体"/>
            </w:rPr>
            <w:fldChar w:fldCharType="separate"/>
          </w:r>
          <w:r>
            <w:rPr>
              <w:rFonts w:ascii="Times New Roman" w:hAnsi="Times New Roman" w:cs="Times New Roman"/>
              <w:bCs w:val="0"/>
            </w:rPr>
            <w:t>附 录 B</w:t>
          </w:r>
          <w:r>
            <w:tab/>
          </w:r>
          <w:r>
            <w:fldChar w:fldCharType="begin"/>
          </w:r>
          <w:r>
            <w:instrText xml:space="preserve"> PAGEREF _Toc12777 \h </w:instrText>
          </w:r>
          <w:r>
            <w:fldChar w:fldCharType="separate"/>
          </w:r>
          <w:r>
            <w:t>10</w:t>
          </w:r>
          <w:r>
            <w:fldChar w:fldCharType="end"/>
          </w:r>
          <w:r>
            <w:rPr>
              <w:rFonts w:ascii="宋体" w:hAnsi="宋体" w:eastAsia="宋体"/>
              <w:color w:val="auto"/>
            </w:rPr>
            <w:fldChar w:fldCharType="end"/>
          </w:r>
        </w:p>
        <w:p w14:paraId="68B1DAE4">
          <w:pPr>
            <w:pStyle w:val="7"/>
            <w:tabs>
              <w:tab w:val="right" w:leader="dot" w:pos="8309"/>
            </w:tabs>
          </w:pPr>
          <w:r>
            <w:rPr>
              <w:rFonts w:ascii="宋体" w:hAnsi="宋体" w:eastAsia="宋体"/>
              <w:color w:val="auto"/>
            </w:rPr>
            <w:fldChar w:fldCharType="begin"/>
          </w:r>
          <w:r>
            <w:rPr>
              <w:rFonts w:ascii="宋体" w:hAnsi="宋体" w:eastAsia="宋体"/>
            </w:rPr>
            <w:instrText xml:space="preserve"> HYPERLINK \l _Toc8545 </w:instrText>
          </w:r>
          <w:r>
            <w:rPr>
              <w:rFonts w:ascii="宋体" w:hAnsi="宋体" w:eastAsia="宋体"/>
            </w:rPr>
            <w:fldChar w:fldCharType="separate"/>
          </w:r>
          <w:r>
            <w:rPr>
              <w:rFonts w:ascii="Times New Roman" w:hAnsi="Times New Roman" w:cs="Times New Roman"/>
              <w:kern w:val="44"/>
            </w:rPr>
            <w:t>附录C（规范性）</w:t>
          </w:r>
          <w:r>
            <w:tab/>
          </w:r>
          <w:r>
            <w:fldChar w:fldCharType="begin"/>
          </w:r>
          <w:r>
            <w:instrText xml:space="preserve"> PAGEREF _Toc8545 \h </w:instrText>
          </w:r>
          <w:r>
            <w:fldChar w:fldCharType="separate"/>
          </w:r>
          <w:r>
            <w:t>13</w:t>
          </w:r>
          <w:r>
            <w:fldChar w:fldCharType="end"/>
          </w:r>
          <w:r>
            <w:rPr>
              <w:rFonts w:ascii="宋体" w:hAnsi="宋体" w:eastAsia="宋体"/>
              <w:color w:val="auto"/>
            </w:rPr>
            <w:fldChar w:fldCharType="end"/>
          </w:r>
        </w:p>
        <w:p w14:paraId="66ACDBAC">
          <w:pPr>
            <w:rPr>
              <w:color w:val="auto"/>
            </w:rPr>
          </w:pPr>
          <w:r>
            <w:rPr>
              <w:rFonts w:ascii="宋体" w:hAnsi="宋体" w:eastAsia="宋体"/>
              <w:color w:val="auto"/>
            </w:rPr>
            <w:fldChar w:fldCharType="end"/>
          </w:r>
        </w:p>
      </w:sdtContent>
    </w:sdt>
    <w:p w14:paraId="6F48CBF2">
      <w:pPr>
        <w:pStyle w:val="15"/>
        <w:spacing w:line="312" w:lineRule="exact"/>
        <w:ind w:firstLine="440"/>
        <w:rPr>
          <w:rStyle w:val="16"/>
          <w:rFonts w:ascii="Times New Roman" w:hAnsi="Times New Roman" w:cs="Times New Roman"/>
          <w:color w:val="auto"/>
        </w:rPr>
      </w:pPr>
    </w:p>
    <w:p w14:paraId="7C9D5414">
      <w:pPr>
        <w:pStyle w:val="15"/>
        <w:spacing w:line="312" w:lineRule="exact"/>
        <w:ind w:firstLine="440"/>
        <w:rPr>
          <w:rStyle w:val="16"/>
          <w:rFonts w:ascii="Times New Roman" w:hAnsi="Times New Roman" w:cs="Times New Roman"/>
          <w:color w:val="auto"/>
        </w:rPr>
      </w:pPr>
    </w:p>
    <w:p w14:paraId="22F10D3B">
      <w:pPr>
        <w:pStyle w:val="15"/>
        <w:spacing w:line="312" w:lineRule="exact"/>
        <w:ind w:firstLine="440"/>
        <w:rPr>
          <w:rStyle w:val="16"/>
          <w:rFonts w:ascii="Times New Roman" w:hAnsi="Times New Roman" w:cs="Times New Roman"/>
          <w:color w:val="auto"/>
        </w:rPr>
      </w:pPr>
    </w:p>
    <w:p w14:paraId="63A451D7">
      <w:pPr>
        <w:pStyle w:val="15"/>
        <w:spacing w:line="312" w:lineRule="exact"/>
        <w:ind w:firstLine="440"/>
        <w:rPr>
          <w:rStyle w:val="16"/>
          <w:rFonts w:ascii="Times New Roman" w:hAnsi="Times New Roman" w:cs="Times New Roman"/>
          <w:color w:val="auto"/>
        </w:rPr>
      </w:pPr>
    </w:p>
    <w:p w14:paraId="6254E8DD">
      <w:pPr>
        <w:pStyle w:val="15"/>
        <w:spacing w:line="312" w:lineRule="exact"/>
        <w:ind w:firstLine="440"/>
        <w:rPr>
          <w:rStyle w:val="16"/>
          <w:rFonts w:ascii="Times New Roman" w:hAnsi="Times New Roman" w:cs="Times New Roman"/>
          <w:color w:val="auto"/>
        </w:rPr>
      </w:pPr>
    </w:p>
    <w:p w14:paraId="16BE5361">
      <w:pPr>
        <w:pStyle w:val="15"/>
        <w:spacing w:line="312" w:lineRule="exact"/>
        <w:ind w:firstLine="440"/>
        <w:rPr>
          <w:rStyle w:val="16"/>
          <w:rFonts w:ascii="Times New Roman" w:hAnsi="Times New Roman" w:cs="Times New Roman"/>
          <w:color w:val="auto"/>
        </w:rPr>
      </w:pPr>
    </w:p>
    <w:p w14:paraId="3CD135A6">
      <w:pPr>
        <w:pStyle w:val="15"/>
        <w:spacing w:line="312" w:lineRule="exact"/>
        <w:ind w:firstLine="440"/>
        <w:rPr>
          <w:rStyle w:val="16"/>
          <w:rFonts w:ascii="Times New Roman" w:hAnsi="Times New Roman" w:cs="Times New Roman"/>
          <w:color w:val="auto"/>
        </w:rPr>
      </w:pPr>
    </w:p>
    <w:p w14:paraId="09F4A26E">
      <w:pPr>
        <w:pStyle w:val="15"/>
        <w:spacing w:line="312" w:lineRule="exact"/>
        <w:ind w:firstLine="440"/>
        <w:rPr>
          <w:rStyle w:val="16"/>
          <w:rFonts w:ascii="Times New Roman" w:hAnsi="Times New Roman" w:cs="Times New Roman"/>
          <w:color w:val="auto"/>
        </w:rPr>
      </w:pPr>
    </w:p>
    <w:p w14:paraId="24583061">
      <w:pPr>
        <w:pStyle w:val="15"/>
        <w:spacing w:line="312" w:lineRule="exact"/>
        <w:ind w:firstLine="440"/>
        <w:rPr>
          <w:rStyle w:val="16"/>
          <w:rFonts w:ascii="Times New Roman" w:hAnsi="Times New Roman" w:cs="Times New Roman"/>
          <w:color w:val="auto"/>
        </w:rPr>
      </w:pPr>
    </w:p>
    <w:p w14:paraId="04E608A4">
      <w:pPr>
        <w:pStyle w:val="15"/>
        <w:spacing w:line="312" w:lineRule="exact"/>
        <w:ind w:firstLine="440"/>
        <w:rPr>
          <w:rStyle w:val="16"/>
          <w:rFonts w:ascii="Times New Roman" w:hAnsi="Times New Roman" w:cs="Times New Roman"/>
          <w:color w:val="auto"/>
        </w:rPr>
      </w:pPr>
    </w:p>
    <w:p w14:paraId="5CFC1559">
      <w:pPr>
        <w:pStyle w:val="15"/>
        <w:spacing w:line="312" w:lineRule="exact"/>
        <w:ind w:firstLine="440"/>
        <w:rPr>
          <w:rStyle w:val="16"/>
          <w:rFonts w:ascii="Times New Roman" w:hAnsi="Times New Roman" w:cs="Times New Roman"/>
          <w:color w:val="auto"/>
        </w:rPr>
      </w:pPr>
    </w:p>
    <w:p w14:paraId="7B072CFB">
      <w:pPr>
        <w:pStyle w:val="15"/>
        <w:spacing w:line="312" w:lineRule="exact"/>
        <w:ind w:firstLine="440"/>
        <w:rPr>
          <w:rStyle w:val="16"/>
          <w:rFonts w:ascii="Times New Roman" w:hAnsi="Times New Roman" w:cs="Times New Roman"/>
          <w:color w:val="auto"/>
        </w:rPr>
      </w:pPr>
    </w:p>
    <w:p w14:paraId="53FE7328">
      <w:pPr>
        <w:pStyle w:val="15"/>
        <w:spacing w:line="312" w:lineRule="exact"/>
        <w:ind w:firstLine="440"/>
        <w:rPr>
          <w:rStyle w:val="16"/>
          <w:rFonts w:ascii="Times New Roman" w:hAnsi="Times New Roman" w:cs="Times New Roman"/>
          <w:color w:val="auto"/>
        </w:rPr>
      </w:pPr>
    </w:p>
    <w:p w14:paraId="203B976E">
      <w:pPr>
        <w:pStyle w:val="15"/>
        <w:spacing w:line="312" w:lineRule="exact"/>
        <w:ind w:firstLine="440"/>
        <w:rPr>
          <w:rStyle w:val="16"/>
          <w:rFonts w:ascii="Times New Roman" w:hAnsi="Times New Roman" w:cs="Times New Roman"/>
          <w:color w:val="auto"/>
        </w:rPr>
      </w:pPr>
    </w:p>
    <w:p w14:paraId="12A71EFC">
      <w:pPr>
        <w:pStyle w:val="15"/>
        <w:spacing w:line="312" w:lineRule="exact"/>
        <w:ind w:firstLine="440"/>
        <w:rPr>
          <w:rStyle w:val="16"/>
          <w:rFonts w:ascii="Times New Roman" w:hAnsi="Times New Roman" w:cs="Times New Roman"/>
          <w:color w:val="auto"/>
        </w:rPr>
      </w:pPr>
    </w:p>
    <w:p w14:paraId="13CE8F66">
      <w:pPr>
        <w:pStyle w:val="15"/>
        <w:spacing w:line="312" w:lineRule="exact"/>
        <w:ind w:firstLine="440"/>
        <w:rPr>
          <w:rStyle w:val="16"/>
          <w:rFonts w:ascii="Times New Roman" w:hAnsi="Times New Roman" w:cs="Times New Roman"/>
          <w:color w:val="auto"/>
        </w:rPr>
      </w:pPr>
    </w:p>
    <w:p w14:paraId="5A0FF83A">
      <w:pPr>
        <w:pStyle w:val="15"/>
        <w:spacing w:line="312" w:lineRule="exact"/>
        <w:ind w:firstLine="440"/>
        <w:rPr>
          <w:rStyle w:val="16"/>
          <w:rFonts w:ascii="Times New Roman" w:hAnsi="Times New Roman" w:cs="Times New Roman"/>
          <w:color w:val="auto"/>
        </w:rPr>
      </w:pPr>
    </w:p>
    <w:p w14:paraId="2D4A4B49">
      <w:pPr>
        <w:pStyle w:val="15"/>
        <w:spacing w:line="312" w:lineRule="exact"/>
        <w:ind w:firstLine="440"/>
        <w:rPr>
          <w:rStyle w:val="16"/>
          <w:rFonts w:ascii="Times New Roman" w:hAnsi="Times New Roman" w:cs="Times New Roman"/>
          <w:color w:val="auto"/>
        </w:rPr>
      </w:pPr>
    </w:p>
    <w:p w14:paraId="19283CB6">
      <w:pPr>
        <w:pStyle w:val="15"/>
        <w:spacing w:line="312" w:lineRule="exact"/>
        <w:rPr>
          <w:rStyle w:val="16"/>
          <w:rFonts w:ascii="Times New Roman" w:hAnsi="Times New Roman" w:cs="Times New Roman"/>
          <w:color w:val="auto"/>
        </w:rPr>
      </w:pPr>
    </w:p>
    <w:p w14:paraId="02D95498">
      <w:pPr>
        <w:pStyle w:val="60"/>
        <w:rPr>
          <w:rStyle w:val="16"/>
          <w:rFonts w:hint="eastAsia" w:ascii="Times New Roman" w:hAnsi="Times New Roman" w:cs="Times New Roman"/>
          <w:color w:val="auto"/>
        </w:rPr>
      </w:pPr>
      <w:bookmarkStart w:id="23" w:name="_Toc25251"/>
      <w:bookmarkStart w:id="24" w:name="_Toc23527"/>
      <w:r>
        <w:rPr>
          <w:rFonts w:hint="eastAsia"/>
        </w:rPr>
        <w:t>前</w:t>
      </w:r>
      <w:bookmarkStart w:id="25" w:name="BKQY"/>
      <w:r>
        <w:rPr>
          <w:rFonts w:hAnsi="黑体"/>
        </w:rPr>
        <w:t>  </w:t>
      </w:r>
      <w:r>
        <w:rPr>
          <w:rFonts w:hint="eastAsia"/>
        </w:rPr>
        <w:t>言</w:t>
      </w:r>
      <w:bookmarkEnd w:id="23"/>
      <w:bookmarkEnd w:id="24"/>
      <w:bookmarkEnd w:id="25"/>
    </w:p>
    <w:p w14:paraId="7D034AFB">
      <w:pPr>
        <w:pStyle w:val="15"/>
        <w:spacing w:line="312" w:lineRule="exact"/>
        <w:ind w:firstLine="440"/>
        <w:rPr>
          <w:rFonts w:ascii="Times New Roman" w:hAnsi="Times New Roman" w:cs="Times New Roman"/>
          <w:color w:val="auto"/>
        </w:rPr>
      </w:pPr>
      <w:r>
        <w:rPr>
          <w:rStyle w:val="16"/>
          <w:rFonts w:ascii="Times New Roman" w:hAnsi="Times New Roman" w:cs="Times New Roman"/>
          <w:color w:val="auto"/>
        </w:rPr>
        <w:t>本文件按照GB/T 1</w:t>
      </w:r>
      <w:r>
        <w:rPr>
          <w:rStyle w:val="16"/>
          <w:rFonts w:hint="eastAsia" w:ascii="Times New Roman" w:hAnsi="Times New Roman" w:cs="Times New Roman"/>
          <w:color w:val="auto"/>
          <w:lang w:val="en-US"/>
        </w:rPr>
        <w:t>.</w:t>
      </w:r>
      <w:r>
        <w:rPr>
          <w:rStyle w:val="16"/>
          <w:rFonts w:ascii="Times New Roman" w:hAnsi="Times New Roman" w:cs="Times New Roman"/>
          <w:color w:val="auto"/>
        </w:rPr>
        <w:t>1—2020《标准化工作导则第1部分：标准化文件的结构和起草规则》的规定起草。</w:t>
      </w:r>
    </w:p>
    <w:p w14:paraId="075286E6">
      <w:pPr>
        <w:pStyle w:val="15"/>
        <w:spacing w:line="312" w:lineRule="exact"/>
        <w:ind w:firstLine="440"/>
        <w:rPr>
          <w:rFonts w:ascii="Times New Roman" w:hAnsi="Times New Roman" w:cs="Times New Roman"/>
          <w:color w:val="auto"/>
        </w:rPr>
      </w:pPr>
      <w:r>
        <w:rPr>
          <w:rStyle w:val="16"/>
          <w:rFonts w:ascii="Times New Roman" w:hAnsi="Times New Roman" w:cs="Times New Roman"/>
          <w:color w:val="auto"/>
        </w:rPr>
        <w:t>本文件由江西省市场监督管理局提出并归口。</w:t>
      </w:r>
    </w:p>
    <w:p w14:paraId="0C34440A">
      <w:pPr>
        <w:pStyle w:val="15"/>
        <w:spacing w:line="312" w:lineRule="exact"/>
        <w:ind w:firstLine="440"/>
        <w:rPr>
          <w:rFonts w:ascii="Times New Roman" w:hAnsi="Times New Roman" w:cs="Times New Roman"/>
          <w:color w:val="auto"/>
        </w:rPr>
      </w:pPr>
      <w:r>
        <w:rPr>
          <w:rStyle w:val="16"/>
          <w:rFonts w:ascii="Times New Roman" w:hAnsi="Times New Roman" w:cs="Times New Roman"/>
          <w:color w:val="auto"/>
        </w:rPr>
        <w:t>本文件由江西省市场监督管理局组织实施。</w:t>
      </w:r>
    </w:p>
    <w:p w14:paraId="6F5014C0">
      <w:pPr>
        <w:pStyle w:val="15"/>
        <w:spacing w:line="312" w:lineRule="exact"/>
        <w:ind w:firstLine="440"/>
        <w:rPr>
          <w:rFonts w:ascii="Times New Roman" w:hAnsi="Times New Roman" w:cs="Times New Roman"/>
          <w:color w:val="auto"/>
        </w:rPr>
      </w:pPr>
      <w:r>
        <w:rPr>
          <w:rStyle w:val="16"/>
          <w:rFonts w:ascii="Times New Roman" w:hAnsi="Times New Roman" w:cs="Times New Roman"/>
          <w:color w:val="auto"/>
        </w:rPr>
        <w:t>本文件起草单位：</w:t>
      </w:r>
      <w:r>
        <w:rPr>
          <w:rStyle w:val="16"/>
          <w:rFonts w:hint="eastAsia" w:ascii="Times New Roman" w:hAnsi="Times New Roman" w:cs="Times New Roman"/>
          <w:color w:val="auto"/>
        </w:rPr>
        <w:t>江西省市场监督管理局质量发展局、江西省检验检测认证总院工业产品检验检测院。</w:t>
      </w:r>
    </w:p>
    <w:p w14:paraId="0F71C9D2">
      <w:pPr>
        <w:pStyle w:val="15"/>
        <w:spacing w:line="312" w:lineRule="exact"/>
        <w:ind w:firstLine="420"/>
        <w:rPr>
          <w:rFonts w:ascii="Times New Roman" w:hAnsi="Times New Roman" w:cs="Times New Roman"/>
          <w:color w:val="auto"/>
        </w:rPr>
        <w:sectPr>
          <w:headerReference r:id="rId6" w:type="default"/>
          <w:footerReference r:id="rId8" w:type="default"/>
          <w:headerReference r:id="rId7" w:type="even"/>
          <w:footerReference r:id="rId9" w:type="even"/>
          <w:pgSz w:w="11909" w:h="16838"/>
          <w:pgMar w:top="1440" w:right="1800" w:bottom="1440" w:left="1800" w:header="1134" w:footer="1134" w:gutter="0"/>
          <w:pgNumType w:fmt="upperRoman" w:start="1"/>
          <w:cols w:space="720" w:num="1"/>
          <w:docGrid w:linePitch="360" w:charSpace="0"/>
        </w:sectPr>
      </w:pPr>
      <w:r>
        <w:rPr>
          <w:rStyle w:val="16"/>
          <w:rFonts w:ascii="Times New Roman" w:hAnsi="Times New Roman" w:cs="Times New Roman"/>
          <w:color w:val="auto"/>
        </w:rPr>
        <w:t>本文件主要起草人：</w:t>
      </w:r>
    </w:p>
    <w:p w14:paraId="5D2D45C5">
      <w:pPr>
        <w:pStyle w:val="29"/>
        <w:keepNext/>
        <w:keepLines/>
        <w:spacing w:before="220" w:after="740"/>
        <w:rPr>
          <w:rFonts w:ascii="Times New Roman" w:hAnsi="Times New Roman" w:cs="Times New Roman"/>
          <w:color w:val="auto"/>
        </w:rPr>
      </w:pPr>
      <w:bookmarkStart w:id="26" w:name="bookmark8"/>
      <w:r>
        <w:rPr>
          <w:rStyle w:val="30"/>
          <w:rFonts w:ascii="Times New Roman" w:hAnsi="Times New Roman" w:cs="Times New Roman"/>
          <w:color w:val="auto"/>
        </w:rPr>
        <w:t>食品相关产品生产企业质量提升指南</w:t>
      </w:r>
      <w:bookmarkEnd w:id="26"/>
    </w:p>
    <w:p w14:paraId="3D97A640">
      <w:pPr>
        <w:pStyle w:val="2"/>
        <w:numPr>
          <w:ilvl w:val="0"/>
          <w:numId w:val="1"/>
        </w:numPr>
        <w:spacing w:before="120" w:beforeLines="50" w:after="120" w:afterLines="50" w:line="360" w:lineRule="auto"/>
        <w:ind w:left="0" w:firstLine="0"/>
        <w:rPr>
          <w:rStyle w:val="14"/>
          <w:rFonts w:ascii="Times New Roman" w:hAnsi="Times New Roman" w:cs="Times New Roman"/>
          <w:b w:val="0"/>
          <w:bCs w:val="0"/>
          <w:color w:val="auto"/>
        </w:rPr>
      </w:pPr>
      <w:bookmarkStart w:id="27" w:name="_Toc9175"/>
      <w:r>
        <w:rPr>
          <w:rStyle w:val="14"/>
          <w:rFonts w:ascii="Times New Roman" w:hAnsi="Times New Roman" w:cs="Times New Roman"/>
          <w:b w:val="0"/>
          <w:bCs w:val="0"/>
          <w:color w:val="auto"/>
        </w:rPr>
        <w:t>范围</w:t>
      </w:r>
      <w:bookmarkEnd w:id="27"/>
    </w:p>
    <w:p w14:paraId="1BB85684">
      <w:pPr>
        <w:pStyle w:val="15"/>
        <w:spacing w:line="360" w:lineRule="auto"/>
        <w:ind w:firstLine="440"/>
        <w:jc w:val="both"/>
        <w:rPr>
          <w:rFonts w:ascii="Times New Roman" w:hAnsi="Times New Roman" w:cs="Times New Roman"/>
          <w:color w:val="auto"/>
        </w:rPr>
      </w:pPr>
      <w:r>
        <w:rPr>
          <w:rStyle w:val="16"/>
          <w:rFonts w:ascii="Times New Roman" w:hAnsi="Times New Roman" w:cs="Times New Roman"/>
          <w:color w:val="auto"/>
        </w:rPr>
        <w:t>本文件规定了食品相关产品生产企业质量提升的基本要素和技术要求，包括</w:t>
      </w:r>
      <w:r>
        <w:rPr>
          <w:rStyle w:val="16"/>
          <w:rFonts w:hint="eastAsia" w:ascii="Times New Roman" w:hAnsi="Times New Roman" w:cs="Times New Roman"/>
          <w:color w:val="auto"/>
          <w:highlight w:val="none"/>
        </w:rPr>
        <w:t>食品相关产品企业的质量安全管理体系、诚信管理体系、组织机构、基础设施与卫生管理、设备、人员、物料、生产过程产品安全控制、检验、追溯召回与投诉、不合格产品管理、文件和记录管理</w:t>
      </w:r>
      <w:r>
        <w:rPr>
          <w:rStyle w:val="16"/>
          <w:rFonts w:ascii="Times New Roman" w:hAnsi="Times New Roman" w:cs="Times New Roman"/>
          <w:color w:val="auto"/>
        </w:rPr>
        <w:t>等内容。</w:t>
      </w:r>
    </w:p>
    <w:p w14:paraId="274B7259">
      <w:pPr>
        <w:pStyle w:val="15"/>
        <w:spacing w:after="380" w:line="360" w:lineRule="auto"/>
        <w:ind w:firstLine="400" w:firstLineChars="200"/>
        <w:rPr>
          <w:rFonts w:ascii="Times New Roman" w:hAnsi="Times New Roman" w:cs="Times New Roman"/>
          <w:color w:val="auto"/>
        </w:rPr>
      </w:pPr>
      <w:r>
        <w:rPr>
          <w:rStyle w:val="16"/>
          <w:rFonts w:ascii="Times New Roman" w:hAnsi="Times New Roman" w:cs="Times New Roman"/>
          <w:color w:val="auto"/>
        </w:rPr>
        <w:t>本文件适用于食品相关产品生产企业。</w:t>
      </w:r>
    </w:p>
    <w:p w14:paraId="709F7D09">
      <w:pPr>
        <w:pStyle w:val="2"/>
        <w:numPr>
          <w:ilvl w:val="0"/>
          <w:numId w:val="1"/>
        </w:numPr>
        <w:spacing w:before="120" w:beforeLines="50" w:after="120" w:afterLines="50" w:line="360" w:lineRule="auto"/>
        <w:ind w:left="0" w:firstLine="0"/>
        <w:rPr>
          <w:rStyle w:val="14"/>
          <w:rFonts w:ascii="Times New Roman" w:hAnsi="Times New Roman" w:cs="Times New Roman"/>
          <w:b w:val="0"/>
          <w:bCs w:val="0"/>
          <w:color w:val="auto"/>
        </w:rPr>
      </w:pPr>
      <w:bookmarkStart w:id="28" w:name="_Toc24439"/>
      <w:r>
        <w:rPr>
          <w:rStyle w:val="14"/>
          <w:rFonts w:ascii="Times New Roman" w:hAnsi="Times New Roman" w:cs="Times New Roman"/>
          <w:b w:val="0"/>
          <w:bCs w:val="0"/>
          <w:color w:val="auto"/>
        </w:rPr>
        <w:t>规范性引用文件</w:t>
      </w:r>
      <w:bookmarkEnd w:id="28"/>
    </w:p>
    <w:p w14:paraId="6DA8875E">
      <w:pPr>
        <w:pStyle w:val="15"/>
        <w:spacing w:line="360" w:lineRule="auto"/>
        <w:ind w:firstLine="440"/>
        <w:rPr>
          <w:rFonts w:ascii="Times New Roman" w:hAnsi="Times New Roman" w:cs="Times New Roman"/>
          <w:color w:val="auto"/>
        </w:rPr>
      </w:pPr>
      <w:r>
        <w:rPr>
          <w:rStyle w:val="16"/>
          <w:rFonts w:ascii="Times New Roman" w:hAnsi="Times New Roman" w:cs="Times New Roman"/>
          <w:color w:val="auto"/>
        </w:rPr>
        <w:t>下列文件中的内容通过文中的规范性引用而构成本文件必不可少的条款。其中，注日期的引用文件， 仅该日期对应的版本适用于本文件；不注日期的引用文件，其最新版本（包括所有的修改单）适用于本文件。</w:t>
      </w:r>
    </w:p>
    <w:p w14:paraId="178BD079">
      <w:pPr>
        <w:pStyle w:val="15"/>
        <w:spacing w:line="360" w:lineRule="auto"/>
        <w:ind w:firstLine="440"/>
        <w:rPr>
          <w:rStyle w:val="16"/>
          <w:rFonts w:ascii="Times New Roman" w:hAnsi="Times New Roman" w:cs="Times New Roman"/>
          <w:color w:val="auto"/>
        </w:rPr>
      </w:pPr>
      <w:r>
        <w:rPr>
          <w:rStyle w:val="16"/>
          <w:rFonts w:ascii="Times New Roman" w:hAnsi="Times New Roman" w:cs="Times New Roman"/>
          <w:color w:val="auto"/>
        </w:rPr>
        <w:t>GB 4806</w:t>
      </w:r>
      <w:r>
        <w:rPr>
          <w:rStyle w:val="16"/>
          <w:rFonts w:hint="eastAsia" w:ascii="Times New Roman" w:hAnsi="Times New Roman" w:cs="Times New Roman"/>
          <w:color w:val="auto"/>
          <w:lang w:val="en-US" w:eastAsia="zh-CN"/>
        </w:rPr>
        <w:t>.</w:t>
      </w:r>
      <w:r>
        <w:rPr>
          <w:rStyle w:val="16"/>
          <w:rFonts w:ascii="Times New Roman" w:hAnsi="Times New Roman" w:cs="Times New Roman"/>
          <w:color w:val="auto"/>
        </w:rPr>
        <w:t>1 食品安全国家标准 食品接触材料及制品通用安全要求</w:t>
      </w:r>
    </w:p>
    <w:p w14:paraId="7057DCD1">
      <w:pPr>
        <w:pStyle w:val="15"/>
        <w:spacing w:line="360" w:lineRule="auto"/>
        <w:ind w:firstLine="440"/>
        <w:rPr>
          <w:rStyle w:val="16"/>
          <w:rFonts w:ascii="Times New Roman" w:hAnsi="Times New Roman" w:cs="Times New Roman"/>
          <w:color w:val="auto"/>
        </w:rPr>
      </w:pPr>
      <w:r>
        <w:rPr>
          <w:rStyle w:val="16"/>
          <w:rFonts w:ascii="Times New Roman" w:hAnsi="Times New Roman" w:cs="Times New Roman"/>
          <w:color w:val="auto"/>
        </w:rPr>
        <w:t>GB 4806</w:t>
      </w:r>
      <w:r>
        <w:rPr>
          <w:rStyle w:val="16"/>
          <w:rFonts w:hint="eastAsia" w:ascii="Times New Roman" w:hAnsi="Times New Roman" w:cs="Times New Roman"/>
          <w:color w:val="auto"/>
          <w:lang w:val="en-US"/>
        </w:rPr>
        <w:t>.</w:t>
      </w:r>
      <w:r>
        <w:rPr>
          <w:rStyle w:val="16"/>
          <w:rFonts w:ascii="Times New Roman" w:hAnsi="Times New Roman" w:cs="Times New Roman"/>
          <w:color w:val="auto"/>
        </w:rPr>
        <w:t>2食品安全国家标准 奶嘴</w:t>
      </w:r>
    </w:p>
    <w:p w14:paraId="0A1E172C">
      <w:pPr>
        <w:pStyle w:val="15"/>
        <w:spacing w:line="360" w:lineRule="auto"/>
        <w:ind w:firstLine="440"/>
        <w:rPr>
          <w:rStyle w:val="16"/>
          <w:rFonts w:hint="eastAsia" w:ascii="Times New Roman" w:hAnsi="Times New Roman" w:cs="Times New Roman"/>
          <w:color w:val="auto"/>
        </w:rPr>
      </w:pPr>
      <w:r>
        <w:rPr>
          <w:rStyle w:val="16"/>
          <w:rFonts w:hint="eastAsia" w:ascii="Times New Roman" w:hAnsi="Times New Roman" w:cs="Times New Roman"/>
          <w:color w:val="auto"/>
        </w:rPr>
        <w:t>GB 4806</w:t>
      </w:r>
      <w:r>
        <w:rPr>
          <w:rStyle w:val="16"/>
          <w:rFonts w:hint="eastAsia" w:ascii="Times New Roman" w:hAnsi="Times New Roman" w:cs="Times New Roman"/>
          <w:color w:val="auto"/>
          <w:lang w:val="en-US"/>
        </w:rPr>
        <w:t>.</w:t>
      </w:r>
      <w:r>
        <w:rPr>
          <w:rStyle w:val="16"/>
          <w:rFonts w:hint="eastAsia" w:ascii="Times New Roman" w:hAnsi="Times New Roman" w:cs="Times New Roman"/>
          <w:color w:val="auto"/>
        </w:rPr>
        <w:t>3食品安全国家标准 搪瓷制品</w:t>
      </w:r>
    </w:p>
    <w:p w14:paraId="20B4A752">
      <w:pPr>
        <w:pStyle w:val="15"/>
        <w:spacing w:line="360" w:lineRule="auto"/>
        <w:ind w:firstLine="440"/>
        <w:rPr>
          <w:rStyle w:val="16"/>
          <w:rFonts w:hint="eastAsia" w:ascii="Times New Roman" w:hAnsi="Times New Roman" w:cs="Times New Roman"/>
          <w:color w:val="auto"/>
        </w:rPr>
      </w:pPr>
      <w:r>
        <w:rPr>
          <w:rStyle w:val="16"/>
          <w:rFonts w:hint="eastAsia" w:ascii="Times New Roman" w:hAnsi="Times New Roman" w:cs="Times New Roman"/>
          <w:color w:val="auto"/>
        </w:rPr>
        <w:t>GB 4806</w:t>
      </w:r>
      <w:r>
        <w:rPr>
          <w:rStyle w:val="16"/>
          <w:rFonts w:hint="eastAsia" w:ascii="Times New Roman" w:hAnsi="Times New Roman" w:cs="Times New Roman"/>
          <w:color w:val="auto"/>
          <w:lang w:val="en-US"/>
        </w:rPr>
        <w:t>.</w:t>
      </w:r>
      <w:r>
        <w:rPr>
          <w:rStyle w:val="16"/>
          <w:rFonts w:hint="eastAsia" w:ascii="Times New Roman" w:hAnsi="Times New Roman" w:cs="Times New Roman"/>
          <w:color w:val="auto"/>
        </w:rPr>
        <w:t>4食品安全国家标准 陶瓷制品</w:t>
      </w:r>
    </w:p>
    <w:p w14:paraId="024556D8">
      <w:pPr>
        <w:pStyle w:val="15"/>
        <w:spacing w:line="360" w:lineRule="auto"/>
        <w:ind w:firstLine="440"/>
        <w:rPr>
          <w:rStyle w:val="16"/>
          <w:rFonts w:hint="eastAsia" w:ascii="Times New Roman" w:hAnsi="Times New Roman" w:cs="Times New Roman"/>
          <w:color w:val="auto"/>
        </w:rPr>
      </w:pPr>
      <w:r>
        <w:rPr>
          <w:rStyle w:val="16"/>
          <w:rFonts w:hint="eastAsia" w:ascii="Times New Roman" w:hAnsi="Times New Roman" w:cs="Times New Roman"/>
          <w:color w:val="auto"/>
        </w:rPr>
        <w:t>GB 4806</w:t>
      </w:r>
      <w:r>
        <w:rPr>
          <w:rStyle w:val="16"/>
          <w:rFonts w:hint="eastAsia" w:ascii="Times New Roman" w:hAnsi="Times New Roman" w:cs="Times New Roman"/>
          <w:color w:val="auto"/>
          <w:lang w:val="en-US"/>
        </w:rPr>
        <w:t>.</w:t>
      </w:r>
      <w:r>
        <w:rPr>
          <w:rStyle w:val="16"/>
          <w:rFonts w:hint="eastAsia" w:ascii="Times New Roman" w:hAnsi="Times New Roman" w:cs="Times New Roman"/>
          <w:color w:val="auto"/>
        </w:rPr>
        <w:t>5食品安全国家标准 玻璃制品</w:t>
      </w:r>
    </w:p>
    <w:p w14:paraId="195C1398">
      <w:pPr>
        <w:pStyle w:val="15"/>
        <w:spacing w:line="360" w:lineRule="auto"/>
        <w:ind w:firstLine="440"/>
        <w:rPr>
          <w:rStyle w:val="16"/>
          <w:rFonts w:ascii="Times New Roman" w:hAnsi="Times New Roman" w:cs="Times New Roman"/>
          <w:color w:val="auto"/>
        </w:rPr>
      </w:pPr>
      <w:r>
        <w:rPr>
          <w:rStyle w:val="16"/>
          <w:rFonts w:ascii="Times New Roman" w:hAnsi="Times New Roman" w:cs="Times New Roman"/>
          <w:color w:val="auto"/>
        </w:rPr>
        <w:t>GB 4806</w:t>
      </w:r>
      <w:r>
        <w:rPr>
          <w:rStyle w:val="16"/>
          <w:rFonts w:hint="eastAsia" w:ascii="Times New Roman" w:hAnsi="Times New Roman" w:cs="Times New Roman"/>
          <w:color w:val="auto"/>
          <w:lang w:val="en-US"/>
        </w:rPr>
        <w:t>.</w:t>
      </w:r>
      <w:r>
        <w:rPr>
          <w:rStyle w:val="16"/>
          <w:rFonts w:ascii="Times New Roman" w:hAnsi="Times New Roman" w:cs="Times New Roman"/>
          <w:color w:val="auto"/>
        </w:rPr>
        <w:t>6 食品安全国家标准 食品接触用塑料树脂</w:t>
      </w:r>
    </w:p>
    <w:p w14:paraId="161F7B5D">
      <w:pPr>
        <w:pStyle w:val="15"/>
        <w:spacing w:line="360" w:lineRule="auto"/>
        <w:ind w:firstLine="440"/>
        <w:rPr>
          <w:rStyle w:val="16"/>
          <w:rFonts w:hint="eastAsia" w:ascii="Times New Roman" w:hAnsi="Times New Roman" w:cs="Times New Roman"/>
          <w:color w:val="auto"/>
        </w:rPr>
      </w:pPr>
      <w:r>
        <w:rPr>
          <w:rStyle w:val="16"/>
          <w:rFonts w:hint="eastAsia" w:ascii="Times New Roman" w:hAnsi="Times New Roman" w:cs="Times New Roman"/>
          <w:color w:val="auto"/>
        </w:rPr>
        <w:t>GB 4806</w:t>
      </w:r>
      <w:r>
        <w:rPr>
          <w:rStyle w:val="16"/>
          <w:rFonts w:hint="eastAsia" w:ascii="Times New Roman" w:hAnsi="Times New Roman" w:cs="Times New Roman"/>
          <w:color w:val="auto"/>
          <w:lang w:val="en-US"/>
        </w:rPr>
        <w:t>.</w:t>
      </w:r>
      <w:r>
        <w:rPr>
          <w:rStyle w:val="16"/>
          <w:rFonts w:hint="eastAsia" w:ascii="Times New Roman" w:hAnsi="Times New Roman" w:cs="Times New Roman"/>
          <w:color w:val="auto"/>
        </w:rPr>
        <w:t>7 食品安全国家标准 食品接触用塑料材料及制品</w:t>
      </w:r>
    </w:p>
    <w:p w14:paraId="5D04878D">
      <w:pPr>
        <w:pStyle w:val="15"/>
        <w:spacing w:line="360" w:lineRule="auto"/>
        <w:ind w:firstLine="440"/>
        <w:rPr>
          <w:rStyle w:val="16"/>
          <w:rFonts w:hint="eastAsia" w:ascii="Times New Roman" w:hAnsi="Times New Roman" w:cs="Times New Roman"/>
          <w:color w:val="auto"/>
        </w:rPr>
      </w:pPr>
      <w:r>
        <w:rPr>
          <w:rStyle w:val="16"/>
          <w:rFonts w:hint="eastAsia" w:ascii="Times New Roman" w:hAnsi="Times New Roman" w:cs="Times New Roman"/>
          <w:color w:val="auto"/>
        </w:rPr>
        <w:t>GB 4806</w:t>
      </w:r>
      <w:r>
        <w:rPr>
          <w:rStyle w:val="16"/>
          <w:rFonts w:hint="eastAsia" w:ascii="Times New Roman" w:hAnsi="Times New Roman" w:cs="Times New Roman"/>
          <w:color w:val="auto"/>
          <w:lang w:val="en-US"/>
        </w:rPr>
        <w:t>.</w:t>
      </w:r>
      <w:r>
        <w:rPr>
          <w:rStyle w:val="16"/>
          <w:rFonts w:hint="eastAsia" w:ascii="Times New Roman" w:hAnsi="Times New Roman" w:cs="Times New Roman"/>
          <w:color w:val="auto"/>
        </w:rPr>
        <w:t>8食品安全国家标准 食品接触用纸和纸板材料及制品</w:t>
      </w:r>
    </w:p>
    <w:p w14:paraId="06F0EDFD">
      <w:pPr>
        <w:pStyle w:val="15"/>
        <w:spacing w:line="360" w:lineRule="auto"/>
        <w:ind w:firstLine="440"/>
        <w:rPr>
          <w:rStyle w:val="16"/>
          <w:rFonts w:hint="eastAsia" w:ascii="Times New Roman" w:hAnsi="Times New Roman" w:cs="Times New Roman"/>
          <w:color w:val="auto"/>
        </w:rPr>
      </w:pPr>
      <w:r>
        <w:rPr>
          <w:rStyle w:val="16"/>
          <w:rFonts w:hint="eastAsia" w:ascii="Times New Roman" w:hAnsi="Times New Roman" w:cs="Times New Roman"/>
          <w:color w:val="auto"/>
        </w:rPr>
        <w:t>GB 4806</w:t>
      </w:r>
      <w:r>
        <w:rPr>
          <w:rStyle w:val="16"/>
          <w:rFonts w:hint="eastAsia" w:ascii="Times New Roman" w:hAnsi="Times New Roman" w:cs="Times New Roman"/>
          <w:color w:val="auto"/>
          <w:lang w:val="en-US"/>
        </w:rPr>
        <w:t>.</w:t>
      </w:r>
      <w:r>
        <w:rPr>
          <w:rStyle w:val="16"/>
          <w:rFonts w:hint="eastAsia" w:ascii="Times New Roman" w:hAnsi="Times New Roman" w:cs="Times New Roman"/>
          <w:color w:val="auto"/>
        </w:rPr>
        <w:t>9食品安全国家标准 食品接触用金属材料及制品</w:t>
      </w:r>
    </w:p>
    <w:p w14:paraId="368D935C">
      <w:pPr>
        <w:pStyle w:val="15"/>
        <w:spacing w:line="360" w:lineRule="auto"/>
        <w:ind w:firstLine="440"/>
        <w:rPr>
          <w:rStyle w:val="16"/>
          <w:rFonts w:hint="eastAsia" w:ascii="Times New Roman" w:hAnsi="Times New Roman" w:cs="Times New Roman"/>
          <w:color w:val="auto"/>
        </w:rPr>
      </w:pPr>
      <w:r>
        <w:rPr>
          <w:rStyle w:val="16"/>
          <w:rFonts w:hint="eastAsia" w:ascii="Times New Roman" w:hAnsi="Times New Roman" w:cs="Times New Roman"/>
          <w:color w:val="auto"/>
        </w:rPr>
        <w:t>GB 4806</w:t>
      </w:r>
      <w:r>
        <w:rPr>
          <w:rStyle w:val="16"/>
          <w:rFonts w:hint="eastAsia" w:ascii="Times New Roman" w:hAnsi="Times New Roman" w:cs="Times New Roman"/>
          <w:color w:val="auto"/>
          <w:lang w:val="en-US"/>
        </w:rPr>
        <w:t>.</w:t>
      </w:r>
      <w:r>
        <w:rPr>
          <w:rStyle w:val="16"/>
          <w:rFonts w:hint="eastAsia" w:ascii="Times New Roman" w:hAnsi="Times New Roman" w:cs="Times New Roman"/>
          <w:color w:val="auto"/>
        </w:rPr>
        <w:t>10食品安全国家标准 食品接触用涂料及涂层</w:t>
      </w:r>
    </w:p>
    <w:p w14:paraId="4821ACD9">
      <w:pPr>
        <w:pStyle w:val="15"/>
        <w:spacing w:line="360" w:lineRule="auto"/>
        <w:ind w:firstLine="440"/>
        <w:rPr>
          <w:rStyle w:val="16"/>
          <w:rFonts w:hint="eastAsia" w:ascii="Times New Roman" w:hAnsi="Times New Roman" w:cs="Times New Roman"/>
          <w:color w:val="auto"/>
        </w:rPr>
      </w:pPr>
      <w:r>
        <w:rPr>
          <w:rStyle w:val="16"/>
          <w:rFonts w:hint="eastAsia" w:ascii="Times New Roman" w:hAnsi="Times New Roman" w:cs="Times New Roman"/>
          <w:color w:val="auto"/>
        </w:rPr>
        <w:t>GB 4806</w:t>
      </w:r>
      <w:r>
        <w:rPr>
          <w:rStyle w:val="16"/>
          <w:rFonts w:hint="eastAsia" w:ascii="Times New Roman" w:hAnsi="Times New Roman" w:cs="Times New Roman"/>
          <w:color w:val="auto"/>
          <w:lang w:val="en-US"/>
        </w:rPr>
        <w:t>.</w:t>
      </w:r>
      <w:r>
        <w:rPr>
          <w:rStyle w:val="16"/>
          <w:rFonts w:hint="eastAsia" w:ascii="Times New Roman" w:hAnsi="Times New Roman" w:cs="Times New Roman"/>
          <w:color w:val="auto"/>
        </w:rPr>
        <w:t>11食品安全国家标准 食品接触用橡胶材料及制品</w:t>
      </w:r>
    </w:p>
    <w:p w14:paraId="03460DA2">
      <w:pPr>
        <w:pStyle w:val="15"/>
        <w:spacing w:line="360" w:lineRule="auto"/>
        <w:ind w:firstLine="440"/>
        <w:rPr>
          <w:rStyle w:val="16"/>
          <w:rFonts w:hint="eastAsia" w:ascii="Times New Roman" w:hAnsi="Times New Roman" w:cs="Times New Roman"/>
          <w:color w:val="auto"/>
        </w:rPr>
      </w:pPr>
      <w:r>
        <w:rPr>
          <w:rStyle w:val="16"/>
          <w:rFonts w:hint="eastAsia" w:ascii="Times New Roman" w:hAnsi="Times New Roman" w:cs="Times New Roman"/>
          <w:color w:val="auto"/>
        </w:rPr>
        <w:t>GB 4806</w:t>
      </w:r>
      <w:r>
        <w:rPr>
          <w:rStyle w:val="16"/>
          <w:rFonts w:hint="eastAsia" w:ascii="Times New Roman" w:hAnsi="Times New Roman" w:cs="Times New Roman"/>
          <w:color w:val="auto"/>
          <w:lang w:val="en-US"/>
        </w:rPr>
        <w:t>.1</w:t>
      </w:r>
      <w:r>
        <w:rPr>
          <w:rStyle w:val="16"/>
          <w:rFonts w:hint="eastAsia" w:ascii="Times New Roman" w:hAnsi="Times New Roman" w:cs="Times New Roman"/>
          <w:color w:val="auto"/>
        </w:rPr>
        <w:t>2食品安全国家标准 食品接用竹大材材料及制品</w:t>
      </w:r>
    </w:p>
    <w:p w14:paraId="3B67F781">
      <w:pPr>
        <w:pStyle w:val="15"/>
        <w:spacing w:line="360" w:lineRule="auto"/>
        <w:ind w:firstLine="440"/>
        <w:rPr>
          <w:rStyle w:val="16"/>
          <w:rFonts w:ascii="Times New Roman" w:hAnsi="Times New Roman" w:cs="Times New Roman"/>
          <w:color w:val="auto"/>
        </w:rPr>
      </w:pPr>
      <w:r>
        <w:rPr>
          <w:rStyle w:val="16"/>
          <w:rFonts w:ascii="Times New Roman" w:hAnsi="Times New Roman" w:cs="Times New Roman"/>
          <w:color w:val="auto"/>
        </w:rPr>
        <w:t>GB 14930</w:t>
      </w:r>
      <w:r>
        <w:rPr>
          <w:rStyle w:val="16"/>
          <w:rFonts w:hint="eastAsia" w:ascii="Times New Roman" w:hAnsi="Times New Roman" w:cs="Times New Roman"/>
          <w:color w:val="auto"/>
          <w:lang w:val="en-US"/>
        </w:rPr>
        <w:t>.</w:t>
      </w:r>
      <w:r>
        <w:rPr>
          <w:rStyle w:val="16"/>
          <w:rFonts w:ascii="Times New Roman" w:hAnsi="Times New Roman" w:cs="Times New Roman"/>
          <w:color w:val="auto"/>
        </w:rPr>
        <w:t>1食品安全国家标准 洗涤剂</w:t>
      </w:r>
    </w:p>
    <w:p w14:paraId="70932236">
      <w:pPr>
        <w:pStyle w:val="15"/>
        <w:spacing w:line="360" w:lineRule="auto"/>
        <w:ind w:firstLine="440"/>
        <w:rPr>
          <w:rFonts w:ascii="Times New Roman" w:hAnsi="Times New Roman" w:cs="Times New Roman"/>
          <w:color w:val="auto"/>
        </w:rPr>
      </w:pPr>
      <w:r>
        <w:rPr>
          <w:rStyle w:val="16"/>
          <w:rFonts w:ascii="Times New Roman" w:hAnsi="Times New Roman" w:cs="Times New Roman"/>
          <w:color w:val="auto"/>
          <w:lang w:val="en-US" w:bidi="en-US"/>
        </w:rPr>
        <w:t xml:space="preserve">GB </w:t>
      </w:r>
      <w:r>
        <w:rPr>
          <w:rStyle w:val="16"/>
          <w:rFonts w:ascii="Times New Roman" w:hAnsi="Times New Roman" w:cs="Times New Roman"/>
          <w:color w:val="auto"/>
        </w:rPr>
        <w:t>9685 食品安全国家标准 食品接触材料及制品用添加剂使用标准</w:t>
      </w:r>
    </w:p>
    <w:p w14:paraId="271934B5">
      <w:pPr>
        <w:pStyle w:val="15"/>
        <w:spacing w:line="360" w:lineRule="auto"/>
        <w:ind w:firstLine="440"/>
        <w:rPr>
          <w:rStyle w:val="16"/>
          <w:rFonts w:ascii="Times New Roman" w:hAnsi="Times New Roman" w:cs="Times New Roman"/>
          <w:color w:val="auto"/>
          <w:lang w:val="en-US" w:bidi="en-US"/>
        </w:rPr>
      </w:pPr>
      <w:r>
        <w:rPr>
          <w:rStyle w:val="16"/>
          <w:rFonts w:ascii="Times New Roman" w:hAnsi="Times New Roman" w:cs="Times New Roman"/>
          <w:color w:val="auto"/>
          <w:lang w:val="en-US" w:bidi="en-US"/>
        </w:rPr>
        <w:t>GB 31603食品安全国家标准 食品接触材料及制品生产通用卫生规范</w:t>
      </w:r>
    </w:p>
    <w:p w14:paraId="63EEF4B6">
      <w:pPr>
        <w:pStyle w:val="15"/>
        <w:spacing w:line="360" w:lineRule="auto"/>
        <w:ind w:firstLine="440"/>
        <w:rPr>
          <w:rFonts w:ascii="Times New Roman" w:hAnsi="Times New Roman" w:cs="Times New Roman"/>
          <w:color w:val="auto"/>
          <w:highlight w:val="none"/>
        </w:rPr>
      </w:pPr>
      <w:r>
        <w:rPr>
          <w:rStyle w:val="16"/>
          <w:rFonts w:ascii="Times New Roman" w:hAnsi="Times New Roman" w:cs="Times New Roman"/>
          <w:color w:val="auto"/>
          <w:highlight w:val="none"/>
          <w:lang w:val="en-US" w:bidi="en-US"/>
        </w:rPr>
        <w:t xml:space="preserve">GB/T </w:t>
      </w:r>
      <w:r>
        <w:rPr>
          <w:rStyle w:val="16"/>
          <w:rFonts w:ascii="Times New Roman" w:hAnsi="Times New Roman" w:cs="Times New Roman"/>
          <w:color w:val="auto"/>
          <w:highlight w:val="none"/>
        </w:rPr>
        <w:t>15496 企业标准体系要求</w:t>
      </w:r>
    </w:p>
    <w:p w14:paraId="315A2CAE">
      <w:pPr>
        <w:pStyle w:val="15"/>
        <w:spacing w:line="360" w:lineRule="auto"/>
        <w:ind w:firstLine="440"/>
        <w:rPr>
          <w:rFonts w:ascii="Times New Roman" w:hAnsi="Times New Roman" w:cs="Times New Roman"/>
          <w:color w:val="auto"/>
        </w:rPr>
      </w:pPr>
      <w:r>
        <w:rPr>
          <w:rStyle w:val="16"/>
          <w:rFonts w:ascii="Times New Roman" w:hAnsi="Times New Roman" w:cs="Times New Roman"/>
          <w:color w:val="auto"/>
          <w:lang w:val="en-US" w:bidi="en-US"/>
        </w:rPr>
        <w:t xml:space="preserve">GB/T </w:t>
      </w:r>
      <w:r>
        <w:rPr>
          <w:rStyle w:val="16"/>
          <w:rFonts w:ascii="Times New Roman" w:hAnsi="Times New Roman" w:cs="Times New Roman"/>
          <w:color w:val="auto"/>
        </w:rPr>
        <w:t>19001 质量管理体系要求</w:t>
      </w:r>
    </w:p>
    <w:p w14:paraId="436A932C">
      <w:pPr>
        <w:pStyle w:val="15"/>
        <w:spacing w:after="300" w:line="360" w:lineRule="auto"/>
        <w:ind w:firstLine="440"/>
        <w:rPr>
          <w:rFonts w:ascii="Times New Roman" w:hAnsi="Times New Roman" w:cs="Times New Roman"/>
          <w:color w:val="auto"/>
        </w:rPr>
      </w:pPr>
      <w:r>
        <w:rPr>
          <w:rStyle w:val="16"/>
          <w:rFonts w:ascii="Times New Roman" w:hAnsi="Times New Roman" w:cs="Times New Roman"/>
          <w:color w:val="auto"/>
        </w:rPr>
        <w:t>GB/T 31950-2023 企业诚信管理体系</w:t>
      </w:r>
    </w:p>
    <w:p w14:paraId="7FCE80DC">
      <w:pPr>
        <w:pStyle w:val="2"/>
        <w:numPr>
          <w:ilvl w:val="0"/>
          <w:numId w:val="1"/>
        </w:numPr>
        <w:spacing w:before="120" w:beforeLines="50" w:after="120" w:afterLines="50" w:line="360" w:lineRule="auto"/>
        <w:ind w:left="0" w:firstLine="0"/>
        <w:rPr>
          <w:rStyle w:val="14"/>
          <w:rFonts w:ascii="Times New Roman" w:hAnsi="Times New Roman" w:cs="Times New Roman"/>
          <w:b w:val="0"/>
          <w:bCs w:val="0"/>
          <w:color w:val="auto"/>
        </w:rPr>
      </w:pPr>
      <w:bookmarkStart w:id="29" w:name="_Toc7248"/>
      <w:r>
        <w:rPr>
          <w:rStyle w:val="14"/>
          <w:rFonts w:ascii="Times New Roman" w:hAnsi="Times New Roman" w:cs="Times New Roman"/>
          <w:b w:val="0"/>
          <w:bCs w:val="0"/>
          <w:color w:val="auto"/>
        </w:rPr>
        <w:t>术语和定义</w:t>
      </w:r>
      <w:bookmarkEnd w:id="29"/>
    </w:p>
    <w:p w14:paraId="351C81F9">
      <w:pPr>
        <w:pStyle w:val="35"/>
        <w:keepNext/>
        <w:keepLines/>
        <w:numPr>
          <w:ilvl w:val="0"/>
          <w:numId w:val="2"/>
        </w:numPr>
        <w:spacing w:after="140" w:line="360" w:lineRule="auto"/>
        <w:ind w:firstLineChars="0"/>
        <w:outlineLvl w:val="1"/>
        <w:rPr>
          <w:rStyle w:val="14"/>
          <w:rFonts w:ascii="Times New Roman" w:hAnsi="Times New Roman" w:cs="Times New Roman"/>
          <w:vanish/>
          <w:color w:val="auto"/>
        </w:rPr>
      </w:pPr>
      <w:bookmarkStart w:id="30" w:name="_Toc134611719"/>
      <w:bookmarkEnd w:id="30"/>
    </w:p>
    <w:p w14:paraId="6F049C5D">
      <w:pPr>
        <w:pStyle w:val="35"/>
        <w:keepNext/>
        <w:keepLines/>
        <w:numPr>
          <w:ilvl w:val="0"/>
          <w:numId w:val="2"/>
        </w:numPr>
        <w:spacing w:after="140" w:line="360" w:lineRule="auto"/>
        <w:ind w:firstLineChars="0"/>
        <w:outlineLvl w:val="1"/>
        <w:rPr>
          <w:rStyle w:val="14"/>
          <w:rFonts w:ascii="Times New Roman" w:hAnsi="Times New Roman" w:cs="Times New Roman"/>
          <w:vanish/>
          <w:color w:val="auto"/>
        </w:rPr>
      </w:pPr>
      <w:bookmarkStart w:id="31" w:name="_Toc134611720"/>
      <w:bookmarkEnd w:id="31"/>
    </w:p>
    <w:p w14:paraId="4639B689">
      <w:pPr>
        <w:pStyle w:val="35"/>
        <w:keepNext/>
        <w:keepLines/>
        <w:numPr>
          <w:ilvl w:val="0"/>
          <w:numId w:val="2"/>
        </w:numPr>
        <w:spacing w:after="140" w:line="360" w:lineRule="auto"/>
        <w:ind w:firstLineChars="0"/>
        <w:outlineLvl w:val="1"/>
        <w:rPr>
          <w:rStyle w:val="14"/>
          <w:rFonts w:ascii="Times New Roman" w:hAnsi="Times New Roman" w:cs="Times New Roman"/>
          <w:vanish/>
          <w:color w:val="auto"/>
        </w:rPr>
      </w:pPr>
      <w:bookmarkStart w:id="32" w:name="_Toc134611721"/>
      <w:bookmarkEnd w:id="32"/>
    </w:p>
    <w:p w14:paraId="52DB3196">
      <w:pPr>
        <w:pStyle w:val="3"/>
        <w:numPr>
          <w:ilvl w:val="1"/>
          <w:numId w:val="2"/>
        </w:numPr>
        <w:spacing w:before="120" w:beforeLines="50" w:after="120" w:afterLines="50" w:line="360" w:lineRule="auto"/>
        <w:ind w:left="0" w:firstLine="400" w:firstLineChars="200"/>
        <w:rPr>
          <w:rStyle w:val="14"/>
          <w:rFonts w:ascii="Times New Roman" w:hAnsi="Times New Roman" w:cs="Times New Roman"/>
          <w:b w:val="0"/>
          <w:bCs w:val="0"/>
          <w:color w:val="auto"/>
        </w:rPr>
      </w:pPr>
      <w:r>
        <w:rPr>
          <w:rStyle w:val="14"/>
          <w:rFonts w:ascii="Times New Roman" w:hAnsi="Times New Roman" w:cs="Times New Roman"/>
          <w:b w:val="0"/>
          <w:bCs w:val="0"/>
          <w:color w:val="auto"/>
        </w:rPr>
        <w:t>食品相关</w:t>
      </w:r>
      <w:r>
        <w:rPr>
          <w:rStyle w:val="14"/>
          <w:rFonts w:hint="eastAsia" w:ascii="Times New Roman" w:hAnsi="Times New Roman" w:cs="Times New Roman"/>
          <w:b w:val="0"/>
          <w:bCs w:val="0"/>
          <w:color w:val="auto"/>
        </w:rPr>
        <w:t>产</w:t>
      </w:r>
      <w:r>
        <w:rPr>
          <w:rStyle w:val="14"/>
          <w:rFonts w:ascii="Times New Roman" w:hAnsi="Times New Roman" w:cs="Times New Roman"/>
          <w:b w:val="0"/>
          <w:bCs w:val="0"/>
          <w:color w:val="auto"/>
        </w:rPr>
        <w:t>品</w:t>
      </w:r>
    </w:p>
    <w:p w14:paraId="6D2755B8">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用于食品的包装材料和容器，指包装、盛放食品或者食品添加剂用的纸、竹、木、金属、搪瓷、陶瓷、塑料、橡胶、天然纤维、化学纤维、玻璃等制品和直接接触食品或者食品添加剂的涂料。</w:t>
      </w:r>
    </w:p>
    <w:p w14:paraId="2050CE30">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用于食品生产经营的工具、设备，指在食品或者食品添加剂生产、销售、使用过程中直接接触食品或者食品添加剂的机械、管道、传送带、容器、用具、餐具等。</w:t>
      </w:r>
    </w:p>
    <w:p w14:paraId="6861AE61">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用于食品的洗涤剂、消毒剂，指直接用于洗涤或者消毒食品、餐具、饮具以及直接接触食品的工具、设备或者食品包装材料和容器的物质。</w:t>
      </w:r>
    </w:p>
    <w:p w14:paraId="18259448">
      <w:pPr>
        <w:pStyle w:val="3"/>
        <w:numPr>
          <w:ilvl w:val="1"/>
          <w:numId w:val="2"/>
        </w:numPr>
        <w:spacing w:before="120" w:beforeLines="50" w:after="120" w:afterLines="50" w:line="360" w:lineRule="auto"/>
        <w:ind w:left="0" w:firstLine="400" w:firstLineChars="200"/>
        <w:rPr>
          <w:rStyle w:val="14"/>
          <w:rFonts w:ascii="Times New Roman" w:hAnsi="Times New Roman" w:cs="Times New Roman"/>
          <w:b w:val="0"/>
          <w:bCs w:val="0"/>
          <w:color w:val="auto"/>
        </w:rPr>
      </w:pPr>
      <w:r>
        <w:rPr>
          <w:rStyle w:val="14"/>
          <w:rFonts w:ascii="Times New Roman" w:hAnsi="Times New Roman" w:cs="Times New Roman"/>
          <w:b w:val="0"/>
          <w:bCs w:val="0"/>
          <w:color w:val="auto"/>
        </w:rPr>
        <w:t>生产全过程</w:t>
      </w:r>
    </w:p>
    <w:p w14:paraId="5E866EB4">
      <w:pPr>
        <w:pStyle w:val="15"/>
        <w:spacing w:after="140" w:line="360" w:lineRule="auto"/>
        <w:ind w:firstLine="440"/>
        <w:jc w:val="both"/>
        <w:rPr>
          <w:rFonts w:ascii="Times New Roman" w:hAnsi="Times New Roman" w:cs="Times New Roman"/>
          <w:color w:val="auto"/>
        </w:rPr>
      </w:pPr>
      <w:r>
        <w:rPr>
          <w:rStyle w:val="16"/>
          <w:rFonts w:ascii="Times New Roman" w:hAnsi="Times New Roman" w:cs="Times New Roman"/>
          <w:color w:val="auto"/>
        </w:rPr>
        <w:t>食品相关产品行业中，从原辅料到产品交付全过程，包括原辅料、生产加工、包装、出厂、贮存、运输及交付等各环节。</w:t>
      </w:r>
    </w:p>
    <w:p w14:paraId="074566DC">
      <w:pPr>
        <w:pStyle w:val="3"/>
        <w:numPr>
          <w:ilvl w:val="1"/>
          <w:numId w:val="2"/>
        </w:numPr>
        <w:spacing w:before="120" w:beforeLines="50" w:after="120" w:afterLines="50" w:line="360" w:lineRule="auto"/>
        <w:ind w:left="0" w:firstLine="400" w:firstLineChars="200"/>
        <w:rPr>
          <w:rStyle w:val="14"/>
          <w:rFonts w:ascii="Times New Roman" w:hAnsi="Times New Roman" w:cs="Times New Roman"/>
          <w:b w:val="0"/>
          <w:bCs w:val="0"/>
          <w:color w:val="auto"/>
        </w:rPr>
      </w:pPr>
      <w:r>
        <w:rPr>
          <w:rStyle w:val="14"/>
          <w:rFonts w:ascii="Times New Roman" w:hAnsi="Times New Roman" w:cs="Times New Roman"/>
          <w:b w:val="0"/>
          <w:bCs w:val="0"/>
          <w:color w:val="auto"/>
        </w:rPr>
        <w:t xml:space="preserve">物料 </w:t>
      </w:r>
    </w:p>
    <w:p w14:paraId="42460E54">
      <w:pPr>
        <w:pStyle w:val="15"/>
        <w:spacing w:after="140" w:line="360" w:lineRule="auto"/>
        <w:ind w:firstLine="440"/>
        <w:jc w:val="both"/>
        <w:rPr>
          <w:rStyle w:val="16"/>
          <w:rFonts w:ascii="Times New Roman" w:hAnsi="Times New Roman" w:cs="Times New Roman"/>
          <w:color w:val="auto"/>
        </w:rPr>
      </w:pPr>
      <w:r>
        <w:rPr>
          <w:rStyle w:val="16"/>
          <w:rFonts w:ascii="Times New Roman" w:hAnsi="Times New Roman" w:cs="Times New Roman"/>
          <w:color w:val="auto"/>
        </w:rPr>
        <w:t>食品相关产品的原料、</w:t>
      </w:r>
      <w:r>
        <w:rPr>
          <w:rStyle w:val="16"/>
          <w:rFonts w:ascii="Times New Roman" w:hAnsi="Times New Roman" w:cs="Times New Roman"/>
          <w:color w:val="auto"/>
          <w:lang w:val="en-US"/>
        </w:rPr>
        <w:t>辅料、</w:t>
      </w:r>
      <w:r>
        <w:rPr>
          <w:rStyle w:val="16"/>
          <w:rFonts w:ascii="Times New Roman" w:hAnsi="Times New Roman" w:cs="Times New Roman"/>
          <w:color w:val="auto"/>
        </w:rPr>
        <w:t>添加剂的统称。</w:t>
      </w:r>
    </w:p>
    <w:p w14:paraId="0924393F">
      <w:pPr>
        <w:pStyle w:val="2"/>
        <w:numPr>
          <w:ilvl w:val="0"/>
          <w:numId w:val="1"/>
        </w:numPr>
        <w:spacing w:before="120" w:beforeLines="50" w:after="120" w:afterLines="50" w:line="360" w:lineRule="auto"/>
        <w:ind w:left="0" w:firstLine="0"/>
        <w:rPr>
          <w:rStyle w:val="14"/>
          <w:rFonts w:ascii="Times New Roman" w:hAnsi="Times New Roman" w:cs="Times New Roman"/>
          <w:b w:val="0"/>
          <w:bCs w:val="0"/>
          <w:color w:val="auto"/>
        </w:rPr>
      </w:pPr>
      <w:bookmarkStart w:id="33" w:name="_Toc3655"/>
      <w:r>
        <w:rPr>
          <w:rStyle w:val="14"/>
          <w:rFonts w:ascii="Times New Roman" w:hAnsi="Times New Roman" w:cs="Times New Roman"/>
          <w:b w:val="0"/>
          <w:bCs w:val="0"/>
          <w:color w:val="auto"/>
        </w:rPr>
        <w:t>食品相关产品质量安全管理体系</w:t>
      </w:r>
      <w:bookmarkEnd w:id="33"/>
    </w:p>
    <w:p w14:paraId="0D590B89">
      <w:pPr>
        <w:pStyle w:val="35"/>
        <w:keepNext/>
        <w:keepLines/>
        <w:numPr>
          <w:ilvl w:val="0"/>
          <w:numId w:val="2"/>
        </w:numPr>
        <w:spacing w:after="140" w:line="360" w:lineRule="auto"/>
        <w:ind w:firstLineChars="0"/>
        <w:outlineLvl w:val="1"/>
        <w:rPr>
          <w:rStyle w:val="14"/>
          <w:rFonts w:ascii="Times New Roman" w:hAnsi="Times New Roman" w:cs="Times New Roman"/>
          <w:vanish/>
          <w:color w:val="auto"/>
        </w:rPr>
      </w:pPr>
      <w:bookmarkStart w:id="34" w:name="_Toc134611726"/>
      <w:bookmarkEnd w:id="34"/>
    </w:p>
    <w:p w14:paraId="09932762">
      <w:pPr>
        <w:pStyle w:val="3"/>
        <w:numPr>
          <w:ilvl w:val="1"/>
          <w:numId w:val="2"/>
        </w:numPr>
        <w:spacing w:before="120" w:beforeLines="50" w:after="120" w:afterLines="50" w:line="360" w:lineRule="auto"/>
        <w:ind w:left="0" w:firstLine="400" w:firstLineChars="200"/>
        <w:rPr>
          <w:rStyle w:val="14"/>
          <w:rFonts w:ascii="Times New Roman" w:hAnsi="Times New Roman" w:cs="Times New Roman"/>
          <w:b w:val="0"/>
          <w:bCs w:val="0"/>
          <w:color w:val="auto"/>
        </w:rPr>
      </w:pPr>
      <w:r>
        <w:rPr>
          <w:rStyle w:val="14"/>
          <w:rFonts w:ascii="Times New Roman" w:hAnsi="Times New Roman" w:cs="Times New Roman"/>
          <w:b w:val="0"/>
          <w:bCs w:val="0"/>
          <w:color w:val="auto"/>
        </w:rPr>
        <w:t>总则</w:t>
      </w:r>
    </w:p>
    <w:p w14:paraId="7331534B">
      <w:pPr>
        <w:pStyle w:val="15"/>
        <w:spacing w:after="140" w:line="360" w:lineRule="auto"/>
        <w:ind w:firstLine="440"/>
        <w:jc w:val="both"/>
        <w:rPr>
          <w:rStyle w:val="16"/>
          <w:rFonts w:ascii="Times New Roman" w:hAnsi="Times New Roman" w:cs="Times New Roman"/>
          <w:color w:val="auto"/>
          <w:highlight w:val="yellow"/>
          <w:lang w:val="en-US"/>
        </w:rPr>
      </w:pPr>
      <w:r>
        <w:rPr>
          <w:rStyle w:val="16"/>
          <w:rFonts w:ascii="Times New Roman" w:hAnsi="Times New Roman" w:cs="Times New Roman"/>
          <w:color w:val="auto"/>
        </w:rPr>
        <w:t>企业应结合自身实际，建立、实施、保持和持续改进食品</w:t>
      </w:r>
      <w:r>
        <w:rPr>
          <w:rStyle w:val="16"/>
          <w:rFonts w:ascii="Times New Roman" w:hAnsi="Times New Roman" w:cs="Times New Roman"/>
          <w:color w:val="auto"/>
          <w:lang w:val="en-US"/>
        </w:rPr>
        <w:t>相关产品</w:t>
      </w:r>
      <w:r>
        <w:rPr>
          <w:rStyle w:val="16"/>
          <w:rFonts w:ascii="Times New Roman" w:hAnsi="Times New Roman" w:cs="Times New Roman"/>
          <w:color w:val="auto"/>
        </w:rPr>
        <w:t>质量安全管理体系，将食品</w:t>
      </w:r>
      <w:r>
        <w:rPr>
          <w:rStyle w:val="16"/>
          <w:rFonts w:ascii="Times New Roman" w:hAnsi="Times New Roman" w:cs="Times New Roman"/>
          <w:color w:val="auto"/>
          <w:lang w:val="en-US"/>
        </w:rPr>
        <w:t>相关产品</w:t>
      </w:r>
      <w:r>
        <w:rPr>
          <w:rStyle w:val="16"/>
          <w:rFonts w:ascii="Times New Roman" w:hAnsi="Times New Roman" w:cs="Times New Roman"/>
          <w:color w:val="auto"/>
        </w:rPr>
        <w:t>生产中的有关质量安全管理与控制的所有要求，系统地贯彻到食品</w:t>
      </w:r>
      <w:r>
        <w:rPr>
          <w:rStyle w:val="16"/>
          <w:rFonts w:ascii="Times New Roman" w:hAnsi="Times New Roman" w:cs="Times New Roman"/>
          <w:color w:val="auto"/>
          <w:lang w:val="en-US"/>
        </w:rPr>
        <w:t>相关产品</w:t>
      </w:r>
      <w:r>
        <w:rPr>
          <w:rStyle w:val="16"/>
          <w:rFonts w:ascii="Times New Roman" w:hAnsi="Times New Roman" w:cs="Times New Roman"/>
          <w:color w:val="auto"/>
        </w:rPr>
        <w:t>的物料采购、加工、控制、检验及贮存、运输等生产全过程中。</w:t>
      </w:r>
    </w:p>
    <w:p w14:paraId="4F200B66">
      <w:pPr>
        <w:pStyle w:val="3"/>
        <w:numPr>
          <w:ilvl w:val="1"/>
          <w:numId w:val="2"/>
        </w:numPr>
        <w:spacing w:before="120" w:beforeLines="50" w:after="120" w:afterLines="50" w:line="360" w:lineRule="auto"/>
        <w:ind w:left="0" w:firstLine="400" w:firstLineChars="200"/>
        <w:rPr>
          <w:rStyle w:val="14"/>
          <w:rFonts w:ascii="Times New Roman" w:hAnsi="Times New Roman" w:cs="Times New Roman"/>
          <w:b w:val="0"/>
          <w:bCs w:val="0"/>
          <w:color w:val="auto"/>
        </w:rPr>
      </w:pPr>
      <w:r>
        <w:rPr>
          <w:rStyle w:val="14"/>
          <w:rFonts w:ascii="Times New Roman" w:hAnsi="Times New Roman" w:cs="Times New Roman"/>
          <w:b w:val="0"/>
          <w:bCs w:val="0"/>
          <w:color w:val="auto"/>
        </w:rPr>
        <w:t>食品相关产品质量安全管理制度</w:t>
      </w:r>
    </w:p>
    <w:p w14:paraId="133B0E0B">
      <w:pPr>
        <w:pStyle w:val="15"/>
        <w:tabs>
          <w:tab w:val="left" w:pos="739"/>
        </w:tabs>
        <w:spacing w:line="360" w:lineRule="auto"/>
        <w:ind w:firstLine="400" w:firstLineChars="200"/>
        <w:rPr>
          <w:rStyle w:val="16"/>
          <w:rFonts w:ascii="Times New Roman" w:hAnsi="Times New Roman" w:cs="Times New Roman"/>
          <w:color w:val="auto"/>
        </w:rPr>
      </w:pPr>
      <w:r>
        <w:rPr>
          <w:rStyle w:val="16"/>
          <w:rFonts w:ascii="Times New Roman" w:hAnsi="Times New Roman" w:cs="Times New Roman"/>
          <w:color w:val="auto"/>
        </w:rPr>
        <w:t>应建立食品相关产品质量安全管理制度(制度可参考附录A)。质量安全管理制度应与企业生产规模、工艺技术水平和食品相关产品的种类特性相适应，并根据生产实际在实践中不断完善。</w:t>
      </w:r>
    </w:p>
    <w:p w14:paraId="28D8B090">
      <w:pPr>
        <w:pStyle w:val="15"/>
        <w:tabs>
          <w:tab w:val="left" w:pos="739"/>
        </w:tabs>
        <w:spacing w:line="360" w:lineRule="auto"/>
        <w:rPr>
          <w:rFonts w:ascii="Times New Roman" w:hAnsi="Times New Roman" w:cs="Times New Roman"/>
          <w:color w:val="auto"/>
        </w:rPr>
      </w:pPr>
      <w:r>
        <w:rPr>
          <w:rStyle w:val="16"/>
          <w:rFonts w:ascii="Times New Roman" w:hAnsi="Times New Roman" w:cs="Times New Roman"/>
          <w:color w:val="auto"/>
        </w:rPr>
        <w:t>食品相关产品质量安全管理的基本要求如下：</w:t>
      </w:r>
    </w:p>
    <w:p w14:paraId="3329E542">
      <w:pPr>
        <w:pStyle w:val="15"/>
        <w:numPr>
          <w:ilvl w:val="0"/>
          <w:numId w:val="3"/>
        </w:numPr>
        <w:tabs>
          <w:tab w:val="left" w:pos="858"/>
        </w:tabs>
        <w:spacing w:line="360" w:lineRule="auto"/>
        <w:ind w:firstLine="440"/>
        <w:jc w:val="both"/>
        <w:rPr>
          <w:rFonts w:ascii="Times New Roman" w:hAnsi="Times New Roman" w:cs="Times New Roman"/>
          <w:color w:val="auto"/>
        </w:rPr>
      </w:pPr>
      <w:r>
        <w:rPr>
          <w:rStyle w:val="16"/>
          <w:rFonts w:ascii="Times New Roman" w:hAnsi="Times New Roman" w:cs="Times New Roman"/>
          <w:color w:val="auto"/>
        </w:rPr>
        <w:t>企业应确定并提供所需的资源，至少包括：</w:t>
      </w:r>
    </w:p>
    <w:p w14:paraId="5FB0152F">
      <w:pPr>
        <w:pStyle w:val="15"/>
        <w:numPr>
          <w:ilvl w:val="0"/>
          <w:numId w:val="4"/>
        </w:numPr>
        <w:tabs>
          <w:tab w:val="left" w:pos="1048"/>
        </w:tabs>
        <w:spacing w:line="360" w:lineRule="auto"/>
        <w:ind w:firstLine="640"/>
        <w:jc w:val="both"/>
        <w:rPr>
          <w:rFonts w:ascii="Times New Roman" w:hAnsi="Times New Roman" w:cs="Times New Roman"/>
          <w:color w:val="auto"/>
        </w:rPr>
      </w:pPr>
      <w:r>
        <w:rPr>
          <w:rStyle w:val="16"/>
          <w:rFonts w:ascii="Times New Roman" w:hAnsi="Times New Roman" w:cs="Times New Roman"/>
          <w:color w:val="auto"/>
        </w:rPr>
        <w:t>确保食品相关产品质量安全管理</w:t>
      </w:r>
      <w:r>
        <w:rPr>
          <w:rStyle w:val="16"/>
          <w:rFonts w:ascii="Times New Roman" w:hAnsi="Times New Roman" w:cs="Times New Roman"/>
          <w:color w:val="auto"/>
          <w:lang w:val="en-US"/>
        </w:rPr>
        <w:t>制度</w:t>
      </w:r>
      <w:r>
        <w:rPr>
          <w:rStyle w:val="16"/>
          <w:rFonts w:ascii="Times New Roman" w:hAnsi="Times New Roman" w:cs="Times New Roman"/>
          <w:color w:val="auto"/>
        </w:rPr>
        <w:t>有效实施、运行和控制其过程的人员；</w:t>
      </w:r>
    </w:p>
    <w:p w14:paraId="50FD2A4C">
      <w:pPr>
        <w:pStyle w:val="15"/>
        <w:numPr>
          <w:ilvl w:val="0"/>
          <w:numId w:val="4"/>
        </w:numPr>
        <w:tabs>
          <w:tab w:val="left" w:pos="1048"/>
        </w:tabs>
        <w:spacing w:line="360" w:lineRule="auto"/>
        <w:ind w:firstLine="640"/>
        <w:jc w:val="both"/>
        <w:rPr>
          <w:rFonts w:ascii="Times New Roman" w:hAnsi="Times New Roman" w:cs="Times New Roman"/>
          <w:color w:val="auto"/>
        </w:rPr>
      </w:pPr>
      <w:r>
        <w:rPr>
          <w:rStyle w:val="16"/>
          <w:rFonts w:ascii="Times New Roman" w:hAnsi="Times New Roman" w:cs="Times New Roman"/>
          <w:color w:val="auto"/>
        </w:rPr>
        <w:t>确保</w:t>
      </w:r>
      <w:r>
        <w:rPr>
          <w:rStyle w:val="16"/>
          <w:rFonts w:ascii="Times New Roman" w:hAnsi="Times New Roman" w:cs="Times New Roman"/>
          <w:color w:val="auto"/>
          <w:lang w:val="en-US"/>
        </w:rPr>
        <w:t>生产</w:t>
      </w:r>
      <w:r>
        <w:rPr>
          <w:rStyle w:val="16"/>
          <w:rFonts w:ascii="Times New Roman" w:hAnsi="Times New Roman" w:cs="Times New Roman"/>
          <w:color w:val="auto"/>
        </w:rPr>
        <w:t>合格产品所需的设施和设备；</w:t>
      </w:r>
    </w:p>
    <w:p w14:paraId="0DCD1262">
      <w:pPr>
        <w:pStyle w:val="15"/>
        <w:numPr>
          <w:ilvl w:val="0"/>
          <w:numId w:val="4"/>
        </w:numPr>
        <w:tabs>
          <w:tab w:val="left" w:pos="1048"/>
        </w:tabs>
        <w:spacing w:line="360" w:lineRule="auto"/>
        <w:ind w:firstLine="640"/>
        <w:jc w:val="both"/>
        <w:rPr>
          <w:rFonts w:ascii="Times New Roman" w:hAnsi="Times New Roman" w:cs="Times New Roman"/>
          <w:color w:val="auto"/>
        </w:rPr>
      </w:pPr>
      <w:r>
        <w:rPr>
          <w:rStyle w:val="16"/>
          <w:rFonts w:ascii="Times New Roman" w:hAnsi="Times New Roman" w:cs="Times New Roman"/>
          <w:color w:val="auto"/>
        </w:rPr>
        <w:t>与生产相适应的设备和维修保障；</w:t>
      </w:r>
    </w:p>
    <w:p w14:paraId="53ED7754">
      <w:pPr>
        <w:pStyle w:val="15"/>
        <w:numPr>
          <w:ilvl w:val="0"/>
          <w:numId w:val="4"/>
        </w:numPr>
        <w:tabs>
          <w:tab w:val="left" w:pos="1048"/>
        </w:tabs>
        <w:spacing w:line="360" w:lineRule="auto"/>
        <w:ind w:firstLine="640"/>
        <w:jc w:val="both"/>
        <w:rPr>
          <w:rFonts w:ascii="Times New Roman" w:hAnsi="Times New Roman" w:cs="Times New Roman"/>
          <w:color w:val="auto"/>
        </w:rPr>
      </w:pPr>
      <w:r>
        <w:rPr>
          <w:rStyle w:val="16"/>
          <w:rFonts w:ascii="Times New Roman" w:hAnsi="Times New Roman" w:cs="Times New Roman"/>
          <w:color w:val="auto"/>
        </w:rPr>
        <w:t>与生产相适应的检验室和检验设备；</w:t>
      </w:r>
    </w:p>
    <w:p w14:paraId="2D9BB258">
      <w:pPr>
        <w:pStyle w:val="15"/>
        <w:numPr>
          <w:ilvl w:val="0"/>
          <w:numId w:val="4"/>
        </w:numPr>
        <w:tabs>
          <w:tab w:val="left" w:pos="1048"/>
        </w:tabs>
        <w:spacing w:line="360" w:lineRule="auto"/>
        <w:ind w:firstLine="640"/>
        <w:jc w:val="both"/>
        <w:rPr>
          <w:rFonts w:ascii="Times New Roman" w:hAnsi="Times New Roman" w:cs="Times New Roman"/>
          <w:color w:val="auto"/>
        </w:rPr>
      </w:pPr>
      <w:r>
        <w:rPr>
          <w:rStyle w:val="16"/>
          <w:rFonts w:ascii="Times New Roman" w:hAnsi="Times New Roman" w:cs="Times New Roman"/>
          <w:color w:val="auto"/>
        </w:rPr>
        <w:t>物料和标签</w:t>
      </w:r>
      <w:r>
        <w:rPr>
          <w:rStyle w:val="16"/>
          <w:rFonts w:ascii="Times New Roman" w:hAnsi="Times New Roman" w:cs="Times New Roman"/>
          <w:color w:val="auto"/>
          <w:lang w:val="en-US"/>
        </w:rPr>
        <w:t>标识</w:t>
      </w:r>
      <w:r>
        <w:rPr>
          <w:rStyle w:val="16"/>
          <w:rFonts w:ascii="Times New Roman" w:hAnsi="Times New Roman" w:cs="Times New Roman"/>
          <w:color w:val="auto"/>
        </w:rPr>
        <w:t>；</w:t>
      </w:r>
    </w:p>
    <w:p w14:paraId="7FD9571C">
      <w:pPr>
        <w:pStyle w:val="15"/>
        <w:numPr>
          <w:ilvl w:val="0"/>
          <w:numId w:val="4"/>
        </w:numPr>
        <w:tabs>
          <w:tab w:val="left" w:pos="1048"/>
        </w:tabs>
        <w:spacing w:line="360" w:lineRule="auto"/>
        <w:ind w:firstLine="640"/>
        <w:jc w:val="both"/>
        <w:rPr>
          <w:rFonts w:ascii="Times New Roman" w:hAnsi="Times New Roman" w:cs="Times New Roman"/>
          <w:color w:val="auto"/>
        </w:rPr>
      </w:pPr>
      <w:r>
        <w:rPr>
          <w:rStyle w:val="16"/>
          <w:rFonts w:ascii="Times New Roman" w:hAnsi="Times New Roman" w:cs="Times New Roman"/>
          <w:color w:val="auto"/>
        </w:rPr>
        <w:t>工艺规程和操作规程；</w:t>
      </w:r>
    </w:p>
    <w:p w14:paraId="278FEDC6">
      <w:pPr>
        <w:pStyle w:val="15"/>
        <w:numPr>
          <w:ilvl w:val="0"/>
          <w:numId w:val="4"/>
        </w:numPr>
        <w:tabs>
          <w:tab w:val="left" w:pos="1048"/>
        </w:tabs>
        <w:spacing w:line="360" w:lineRule="auto"/>
        <w:ind w:firstLine="640"/>
        <w:jc w:val="both"/>
        <w:rPr>
          <w:rFonts w:ascii="Times New Roman" w:hAnsi="Times New Roman" w:cs="Times New Roman"/>
          <w:color w:val="auto"/>
        </w:rPr>
      </w:pPr>
      <w:r>
        <w:rPr>
          <w:rStyle w:val="16"/>
          <w:rFonts w:ascii="Times New Roman" w:hAnsi="Times New Roman" w:cs="Times New Roman"/>
          <w:color w:val="auto"/>
        </w:rPr>
        <w:t>适当的贮运条件。</w:t>
      </w:r>
    </w:p>
    <w:p w14:paraId="632B5502">
      <w:pPr>
        <w:pStyle w:val="15"/>
        <w:numPr>
          <w:ilvl w:val="0"/>
          <w:numId w:val="3"/>
        </w:numPr>
        <w:tabs>
          <w:tab w:val="left" w:pos="858"/>
        </w:tabs>
        <w:spacing w:line="360" w:lineRule="auto"/>
        <w:ind w:firstLine="440"/>
        <w:jc w:val="both"/>
        <w:rPr>
          <w:rFonts w:ascii="Times New Roman" w:hAnsi="Times New Roman" w:cs="Times New Roman"/>
          <w:color w:val="auto"/>
        </w:rPr>
      </w:pPr>
      <w:r>
        <w:rPr>
          <w:rStyle w:val="16"/>
          <w:rFonts w:ascii="Times New Roman" w:hAnsi="Times New Roman" w:cs="Times New Roman"/>
          <w:color w:val="auto"/>
        </w:rPr>
        <w:t>对首次使用的原辅料、配方和生产工艺进行安全评估及验证，并保存相关记录。</w:t>
      </w:r>
    </w:p>
    <w:p w14:paraId="432E16E7">
      <w:pPr>
        <w:pStyle w:val="15"/>
        <w:numPr>
          <w:ilvl w:val="0"/>
          <w:numId w:val="3"/>
        </w:numPr>
        <w:tabs>
          <w:tab w:val="left" w:pos="858"/>
        </w:tabs>
        <w:spacing w:line="360" w:lineRule="auto"/>
        <w:ind w:firstLine="440"/>
        <w:jc w:val="both"/>
        <w:rPr>
          <w:rFonts w:ascii="Times New Roman" w:hAnsi="Times New Roman" w:cs="Times New Roman"/>
          <w:color w:val="auto"/>
        </w:rPr>
      </w:pPr>
      <w:r>
        <w:rPr>
          <w:rStyle w:val="16"/>
          <w:rFonts w:ascii="Times New Roman" w:hAnsi="Times New Roman" w:cs="Times New Roman"/>
          <w:color w:val="auto"/>
        </w:rPr>
        <w:t>操作人员经过培训，能够按照操作规程正确操作；</w:t>
      </w:r>
    </w:p>
    <w:p w14:paraId="313CB53D">
      <w:pPr>
        <w:pStyle w:val="15"/>
        <w:numPr>
          <w:ilvl w:val="0"/>
          <w:numId w:val="3"/>
        </w:numPr>
        <w:tabs>
          <w:tab w:val="left" w:pos="858"/>
        </w:tabs>
        <w:spacing w:line="360" w:lineRule="auto"/>
        <w:ind w:firstLine="440"/>
        <w:jc w:val="both"/>
        <w:rPr>
          <w:rFonts w:ascii="Times New Roman" w:hAnsi="Times New Roman" w:cs="Times New Roman"/>
          <w:color w:val="auto"/>
        </w:rPr>
      </w:pPr>
      <w:r>
        <w:rPr>
          <w:rStyle w:val="16"/>
          <w:rFonts w:ascii="Times New Roman" w:hAnsi="Times New Roman" w:cs="Times New Roman"/>
          <w:color w:val="auto"/>
        </w:rPr>
        <w:t>降低食品相关产品运输过程中的质量风险；</w:t>
      </w:r>
    </w:p>
    <w:p w14:paraId="6409F9C2">
      <w:pPr>
        <w:pStyle w:val="15"/>
        <w:numPr>
          <w:ilvl w:val="0"/>
          <w:numId w:val="3"/>
        </w:numPr>
        <w:tabs>
          <w:tab w:val="left" w:pos="858"/>
        </w:tabs>
        <w:spacing w:line="360" w:lineRule="auto"/>
        <w:ind w:firstLine="440"/>
        <w:jc w:val="both"/>
        <w:rPr>
          <w:rFonts w:ascii="Times New Roman" w:hAnsi="Times New Roman" w:cs="Times New Roman"/>
          <w:color w:val="auto"/>
        </w:rPr>
      </w:pPr>
      <w:r>
        <w:rPr>
          <w:rStyle w:val="16"/>
          <w:rFonts w:ascii="Times New Roman" w:hAnsi="Times New Roman" w:cs="Times New Roman"/>
          <w:color w:val="auto"/>
        </w:rPr>
        <w:t>建立能够快速、有效地对任何一批产品实施召回的食品相关产品召回系统；</w:t>
      </w:r>
    </w:p>
    <w:p w14:paraId="1AD39172">
      <w:pPr>
        <w:pStyle w:val="15"/>
        <w:numPr>
          <w:ilvl w:val="0"/>
          <w:numId w:val="3"/>
        </w:numPr>
        <w:tabs>
          <w:tab w:val="left" w:pos="858"/>
        </w:tabs>
        <w:spacing w:after="140" w:line="360" w:lineRule="auto"/>
        <w:ind w:firstLine="440"/>
        <w:jc w:val="both"/>
        <w:rPr>
          <w:rFonts w:ascii="Times New Roman" w:hAnsi="Times New Roman" w:cs="Times New Roman"/>
          <w:color w:val="auto"/>
        </w:rPr>
      </w:pPr>
      <w:r>
        <w:rPr>
          <w:rStyle w:val="16"/>
          <w:rFonts w:ascii="Times New Roman" w:hAnsi="Times New Roman" w:cs="Times New Roman"/>
          <w:color w:val="auto"/>
        </w:rPr>
        <w:t>调查导致食品相关产品投诉和质量缺陷的原因，并采取防止再次发生同类质量缺陷的措施。</w:t>
      </w:r>
    </w:p>
    <w:p w14:paraId="5F00C88D">
      <w:pPr>
        <w:pStyle w:val="3"/>
        <w:numPr>
          <w:ilvl w:val="1"/>
          <w:numId w:val="2"/>
        </w:numPr>
        <w:spacing w:before="120" w:beforeLines="50" w:after="120" w:afterLines="50" w:line="360" w:lineRule="auto"/>
        <w:ind w:left="0" w:firstLine="400" w:firstLineChars="200"/>
        <w:rPr>
          <w:rStyle w:val="14"/>
          <w:rFonts w:ascii="Times New Roman" w:hAnsi="Times New Roman" w:cs="Times New Roman"/>
          <w:b w:val="0"/>
          <w:bCs w:val="0"/>
          <w:color w:val="auto"/>
        </w:rPr>
      </w:pPr>
      <w:r>
        <w:rPr>
          <w:rStyle w:val="14"/>
          <w:rFonts w:ascii="Times New Roman" w:hAnsi="Times New Roman" w:cs="Times New Roman"/>
          <w:b w:val="0"/>
          <w:bCs w:val="0"/>
          <w:color w:val="auto"/>
        </w:rPr>
        <w:t>风险管理</w:t>
      </w:r>
    </w:p>
    <w:p w14:paraId="314A3F19">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企业应开展风险识别、风险分析和风险评价等风险评估活动。</w:t>
      </w:r>
    </w:p>
    <w:p w14:paraId="5F66DCC8">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企业应对生产全过程开展风险识别，并根据风险评估结果进行有效控制。</w:t>
      </w:r>
    </w:p>
    <w:p w14:paraId="1D60E3C5">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食品相关产品质量安全风险管理过程所采用的方法、措施、形式及形成的文件应与风险评估级别相适应。</w:t>
      </w:r>
    </w:p>
    <w:p w14:paraId="0BA02EDD">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鼓励大型企业收集整理行业数据，识别、分析全产业链的潜在风险，研究、建立贯通全产业链的食品相关产品质量安全风险预警系统。</w:t>
      </w:r>
    </w:p>
    <w:p w14:paraId="53BA9266">
      <w:pPr>
        <w:pStyle w:val="3"/>
        <w:numPr>
          <w:ilvl w:val="1"/>
          <w:numId w:val="2"/>
        </w:numPr>
        <w:spacing w:before="120" w:beforeLines="50" w:after="120" w:afterLines="50" w:line="360" w:lineRule="auto"/>
        <w:ind w:left="0" w:firstLine="400" w:firstLineChars="200"/>
        <w:rPr>
          <w:rStyle w:val="14"/>
          <w:rFonts w:ascii="Times New Roman" w:hAnsi="Times New Roman" w:cs="Times New Roman"/>
          <w:b w:val="0"/>
          <w:bCs w:val="0"/>
          <w:color w:val="auto"/>
        </w:rPr>
      </w:pPr>
      <w:r>
        <w:rPr>
          <w:rStyle w:val="14"/>
          <w:rFonts w:ascii="Times New Roman" w:hAnsi="Times New Roman" w:cs="Times New Roman"/>
          <w:b w:val="0"/>
          <w:bCs w:val="0"/>
          <w:color w:val="auto"/>
        </w:rPr>
        <w:t>质量安全标准体系</w:t>
      </w:r>
    </w:p>
    <w:p w14:paraId="1376DE84">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企业可参照GB/T 15496建立企业标准体系。</w:t>
      </w:r>
    </w:p>
    <w:p w14:paraId="497C93AA">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鼓励企业采用国际先进标准制定本企业标准。</w:t>
      </w:r>
    </w:p>
    <w:p w14:paraId="6BFAE554">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企业制定的企业标准应优于食品安全标准。</w:t>
      </w:r>
    </w:p>
    <w:p w14:paraId="548D9FE1">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企业宜针对原辅料、过程产品和终产品验收，制定优于食品相关产品安全标准的质量标准。</w:t>
      </w:r>
    </w:p>
    <w:p w14:paraId="516B17E3">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鼓励企业参与国家、行业、地方和团体标准的制修订工作。</w:t>
      </w:r>
    </w:p>
    <w:p w14:paraId="49E93F34">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鼓励企业进行先进生产工艺、新检验技术和方法的研究，并适时的将研究成果转化为相关标准。</w:t>
      </w:r>
    </w:p>
    <w:p w14:paraId="50D0F1D0">
      <w:pPr>
        <w:pStyle w:val="2"/>
        <w:numPr>
          <w:ilvl w:val="0"/>
          <w:numId w:val="1"/>
        </w:numPr>
        <w:spacing w:before="120" w:beforeLines="50" w:after="120" w:afterLines="50" w:line="360" w:lineRule="auto"/>
        <w:ind w:left="0" w:firstLine="0"/>
        <w:rPr>
          <w:rStyle w:val="14"/>
          <w:rFonts w:ascii="Times New Roman" w:hAnsi="Times New Roman" w:cs="Times New Roman"/>
          <w:b w:val="0"/>
          <w:bCs w:val="0"/>
          <w:color w:val="auto"/>
        </w:rPr>
      </w:pPr>
      <w:bookmarkStart w:id="35" w:name="_Toc6094"/>
      <w:r>
        <w:rPr>
          <w:rStyle w:val="14"/>
          <w:rFonts w:ascii="Times New Roman" w:hAnsi="Times New Roman" w:cs="Times New Roman"/>
          <w:b w:val="0"/>
          <w:bCs w:val="0"/>
          <w:color w:val="auto"/>
        </w:rPr>
        <w:t>诚信管理体系</w:t>
      </w:r>
      <w:bookmarkEnd w:id="35"/>
    </w:p>
    <w:p w14:paraId="4137D1D6">
      <w:pPr>
        <w:pStyle w:val="15"/>
        <w:tabs>
          <w:tab w:val="left" w:pos="739"/>
        </w:tabs>
        <w:spacing w:line="360" w:lineRule="auto"/>
        <w:rPr>
          <w:rFonts w:ascii="Times New Roman" w:hAnsi="Times New Roman" w:cs="Times New Roman"/>
          <w:color w:val="auto"/>
        </w:rPr>
      </w:pPr>
      <w:r>
        <w:rPr>
          <w:rStyle w:val="16"/>
          <w:rFonts w:ascii="Times New Roman" w:hAnsi="Times New Roman" w:cs="Times New Roman"/>
          <w:color w:val="auto"/>
          <w:lang w:val="en-US"/>
        </w:rPr>
        <w:t>5</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1</w:t>
      </w:r>
      <w:r>
        <w:rPr>
          <w:rStyle w:val="16"/>
          <w:rFonts w:ascii="Times New Roman" w:hAnsi="Times New Roman" w:cs="Times New Roman"/>
          <w:color w:val="auto"/>
        </w:rPr>
        <w:t>企业应明确诚信管理要求，树立诚实守信意识，不应有任何虚假、欺骗行为。</w:t>
      </w:r>
    </w:p>
    <w:p w14:paraId="02692C67">
      <w:pPr>
        <w:pStyle w:val="15"/>
        <w:tabs>
          <w:tab w:val="left" w:pos="739"/>
        </w:tabs>
        <w:spacing w:after="140" w:line="360" w:lineRule="auto"/>
        <w:rPr>
          <w:rFonts w:ascii="Times New Roman" w:hAnsi="Times New Roman" w:cs="Times New Roman"/>
          <w:color w:val="auto"/>
        </w:rPr>
      </w:pPr>
      <w:r>
        <w:rPr>
          <w:rStyle w:val="16"/>
          <w:rFonts w:ascii="Times New Roman" w:hAnsi="Times New Roman" w:cs="Times New Roman"/>
          <w:color w:val="auto"/>
          <w:lang w:val="en-US"/>
        </w:rPr>
        <w:t>5</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2</w:t>
      </w:r>
      <w:r>
        <w:rPr>
          <w:rStyle w:val="16"/>
          <w:rFonts w:ascii="Times New Roman" w:hAnsi="Times New Roman" w:cs="Times New Roman"/>
          <w:color w:val="auto"/>
        </w:rPr>
        <w:t>鼓励企业建立诚信管理体系，诚信管理体系应符合GB/T 31950-2023 的要求。</w:t>
      </w:r>
    </w:p>
    <w:p w14:paraId="57E0CB62">
      <w:pPr>
        <w:pStyle w:val="2"/>
        <w:numPr>
          <w:ilvl w:val="0"/>
          <w:numId w:val="1"/>
        </w:numPr>
        <w:spacing w:before="120" w:beforeLines="50" w:after="120" w:afterLines="50" w:line="360" w:lineRule="auto"/>
        <w:ind w:left="0" w:firstLine="0"/>
        <w:rPr>
          <w:rStyle w:val="14"/>
          <w:rFonts w:ascii="Times New Roman" w:hAnsi="Times New Roman" w:cs="Times New Roman"/>
          <w:b w:val="0"/>
          <w:bCs w:val="0"/>
          <w:color w:val="auto"/>
        </w:rPr>
      </w:pPr>
      <w:r>
        <w:rPr>
          <w:rStyle w:val="14"/>
          <w:rFonts w:ascii="Times New Roman" w:hAnsi="Times New Roman" w:cs="Times New Roman"/>
          <w:b w:val="0"/>
          <w:bCs w:val="0"/>
          <w:color w:val="auto"/>
        </w:rPr>
        <w:t xml:space="preserve"> </w:t>
      </w:r>
      <w:bookmarkStart w:id="36" w:name="_Toc4647"/>
      <w:r>
        <w:rPr>
          <w:rStyle w:val="14"/>
          <w:rFonts w:ascii="Times New Roman" w:hAnsi="Times New Roman" w:cs="Times New Roman"/>
          <w:b w:val="0"/>
          <w:bCs w:val="0"/>
          <w:color w:val="auto"/>
        </w:rPr>
        <w:t>组织机构</w:t>
      </w:r>
      <w:bookmarkEnd w:id="36"/>
    </w:p>
    <w:p w14:paraId="05F269F3">
      <w:pPr>
        <w:pStyle w:val="35"/>
        <w:keepNext/>
        <w:keepLines/>
        <w:numPr>
          <w:ilvl w:val="0"/>
          <w:numId w:val="2"/>
        </w:numPr>
        <w:spacing w:after="140" w:line="360" w:lineRule="auto"/>
        <w:ind w:firstLineChars="0"/>
        <w:outlineLvl w:val="1"/>
        <w:rPr>
          <w:rStyle w:val="14"/>
          <w:rFonts w:ascii="Times New Roman" w:hAnsi="Times New Roman" w:cs="Times New Roman"/>
          <w:b/>
          <w:bCs/>
          <w:vanish/>
          <w:color w:val="auto"/>
        </w:rPr>
      </w:pPr>
      <w:bookmarkStart w:id="37" w:name="_Toc134611733"/>
      <w:bookmarkEnd w:id="37"/>
    </w:p>
    <w:p w14:paraId="3D8A7887">
      <w:pPr>
        <w:pStyle w:val="35"/>
        <w:keepNext/>
        <w:keepLines/>
        <w:numPr>
          <w:ilvl w:val="0"/>
          <w:numId w:val="2"/>
        </w:numPr>
        <w:spacing w:after="140" w:line="360" w:lineRule="auto"/>
        <w:ind w:firstLineChars="0"/>
        <w:outlineLvl w:val="1"/>
        <w:rPr>
          <w:rStyle w:val="14"/>
          <w:rFonts w:ascii="Times New Roman" w:hAnsi="Times New Roman" w:cs="Times New Roman"/>
          <w:b/>
          <w:bCs/>
          <w:vanish/>
          <w:color w:val="auto"/>
        </w:rPr>
      </w:pPr>
      <w:bookmarkStart w:id="38" w:name="_Toc134611734"/>
      <w:bookmarkEnd w:id="38"/>
    </w:p>
    <w:p w14:paraId="018CE764">
      <w:pPr>
        <w:pStyle w:val="3"/>
        <w:numPr>
          <w:ilvl w:val="1"/>
          <w:numId w:val="2"/>
        </w:numPr>
        <w:spacing w:before="120" w:beforeLines="50" w:after="120" w:afterLines="50" w:line="360" w:lineRule="auto"/>
        <w:ind w:left="0" w:firstLine="400" w:firstLineChars="200"/>
        <w:rPr>
          <w:rStyle w:val="14"/>
          <w:rFonts w:ascii="Times New Roman" w:hAnsi="Times New Roman" w:cs="Times New Roman"/>
          <w:b w:val="0"/>
          <w:bCs w:val="0"/>
          <w:color w:val="auto"/>
        </w:rPr>
      </w:pPr>
      <w:r>
        <w:rPr>
          <w:rStyle w:val="14"/>
          <w:rFonts w:ascii="Times New Roman" w:hAnsi="Times New Roman" w:cs="Times New Roman"/>
          <w:b w:val="0"/>
          <w:bCs w:val="0"/>
          <w:color w:val="auto"/>
        </w:rPr>
        <w:t>食品相关产品质量安全主体责任</w:t>
      </w:r>
    </w:p>
    <w:p w14:paraId="787DE278">
      <w:pPr>
        <w:pStyle w:val="15"/>
        <w:numPr>
          <w:ilvl w:val="2"/>
          <w:numId w:val="2"/>
        </w:numPr>
        <w:tabs>
          <w:tab w:val="left" w:pos="739"/>
        </w:tabs>
        <w:spacing w:line="360" w:lineRule="auto"/>
        <w:ind w:left="0" w:firstLine="400" w:firstLineChars="200"/>
        <w:rPr>
          <w:rStyle w:val="16"/>
          <w:rFonts w:ascii="Times New Roman" w:hAnsi="Times New Roman" w:cs="Times New Roman"/>
          <w:color w:val="auto"/>
          <w:highlight w:val="none"/>
        </w:rPr>
      </w:pPr>
      <w:r>
        <w:rPr>
          <w:rStyle w:val="16"/>
          <w:rFonts w:ascii="Times New Roman" w:hAnsi="Times New Roman" w:cs="Times New Roman"/>
          <w:color w:val="auto"/>
          <w:highlight w:val="none"/>
          <w:lang w:val="en-US"/>
        </w:rPr>
        <w:t>主体责任</w:t>
      </w:r>
    </w:p>
    <w:p w14:paraId="3AF1B3EF">
      <w:pPr>
        <w:pStyle w:val="15"/>
        <w:tabs>
          <w:tab w:val="left" w:pos="739"/>
        </w:tabs>
        <w:spacing w:line="360" w:lineRule="auto"/>
        <w:ind w:firstLine="400" w:firstLineChars="200"/>
        <w:rPr>
          <w:rStyle w:val="16"/>
          <w:rFonts w:ascii="Times New Roman" w:hAnsi="Times New Roman" w:cs="Times New Roman"/>
          <w:color w:val="auto"/>
          <w:highlight w:val="yellow"/>
        </w:rPr>
      </w:pPr>
      <w:r>
        <w:rPr>
          <w:rStyle w:val="16"/>
          <w:rFonts w:ascii="Times New Roman" w:hAnsi="Times New Roman" w:cs="Times New Roman"/>
          <w:color w:val="auto"/>
          <w:lang w:val="en-US"/>
        </w:rPr>
        <w:t>生产企业须按</w:t>
      </w:r>
      <w:r>
        <w:rPr>
          <w:rStyle w:val="16"/>
          <w:rFonts w:ascii="Times New Roman" w:hAnsi="Times New Roman" w:cs="Times New Roman"/>
          <w:color w:val="auto"/>
        </w:rPr>
        <w:t>国家市场监督管理总局令第75号</w:t>
      </w:r>
      <w:r>
        <w:rPr>
          <w:rStyle w:val="16"/>
          <w:rFonts w:ascii="Times New Roman" w:hAnsi="Times New Roman" w:cs="Times New Roman"/>
          <w:color w:val="auto"/>
          <w:lang w:val="en-US"/>
        </w:rPr>
        <w:t>落实</w:t>
      </w:r>
      <w:r>
        <w:rPr>
          <w:rStyle w:val="16"/>
          <w:rFonts w:ascii="Times New Roman" w:hAnsi="Times New Roman" w:cs="Times New Roman"/>
          <w:color w:val="auto"/>
        </w:rPr>
        <w:t>质量安全主体责任</w:t>
      </w:r>
      <w:r>
        <w:rPr>
          <w:rStyle w:val="16"/>
          <w:rFonts w:ascii="Times New Roman" w:hAnsi="Times New Roman" w:cs="Times New Roman"/>
          <w:color w:val="auto"/>
          <w:lang w:val="en-US"/>
        </w:rPr>
        <w:t>，</w:t>
      </w:r>
      <w:r>
        <w:rPr>
          <w:rStyle w:val="16"/>
          <w:rFonts w:ascii="Times New Roman" w:hAnsi="Times New Roman" w:cs="Times New Roman"/>
          <w:color w:val="auto"/>
        </w:rPr>
        <w:t>依法配备与单位规模、产品类别、风险等级相适应的质量安全总监和质量安全员，明确生产单位主要负责人、质量安全总监和质量安全员的岗位职责。</w:t>
      </w:r>
    </w:p>
    <w:p w14:paraId="60D65CF5">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食品相关产品生产者(以下简称生产者)、对其生产的食品相关产品质量安全负责，所开展的生产活动，应当符合《食品相关产品质量安全监督管理暂行办法》的有关规定。</w:t>
      </w:r>
    </w:p>
    <w:p w14:paraId="5870DE67">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生产者应当建立并落实食品相关产品质量安全责任制，依法配备质量安全员，生产直接接触食品的包装材料等具有较高风险的生产者还应当配备质量安全总监。明确企业主要负责人、质量安全总监、质量安全员等不同层级管理人员的岗位职责。</w:t>
      </w:r>
    </w:p>
    <w:p w14:paraId="7CFDACF9">
      <w:pPr>
        <w:pStyle w:val="15"/>
        <w:numPr>
          <w:ilvl w:val="2"/>
          <w:numId w:val="2"/>
        </w:numPr>
        <w:tabs>
          <w:tab w:val="left" w:pos="739"/>
        </w:tabs>
        <w:spacing w:line="360" w:lineRule="auto"/>
        <w:ind w:left="0" w:firstLine="400" w:firstLineChars="200"/>
        <w:rPr>
          <w:rStyle w:val="16"/>
          <w:rFonts w:ascii="Times New Roman" w:hAnsi="Times New Roman" w:cs="Times New Roman"/>
          <w:color w:val="auto"/>
          <w:highlight w:val="none"/>
          <w:lang w:val="en-US"/>
        </w:rPr>
      </w:pPr>
      <w:r>
        <w:rPr>
          <w:rStyle w:val="16"/>
          <w:rFonts w:ascii="Times New Roman" w:hAnsi="Times New Roman" w:cs="Times New Roman"/>
          <w:color w:val="auto"/>
          <w:highlight w:val="none"/>
          <w:lang w:val="en-US"/>
        </w:rPr>
        <w:t>生产者应当建立基于食品相关产品质量安全风险防控的动态管理机制，结合本单位实际，落实自查要求，制定《食品相关产品质量安全风险管控清单》(可参考附录B)，建立健全日管控、周排查、月调度工作制度。日管控、周排查、月调度工作制度具体落实要求，参照工业产品生产单位、销售单位落实质量安全主体责任监督管理规定执行。</w:t>
      </w:r>
    </w:p>
    <w:p w14:paraId="1709F249">
      <w:pPr>
        <w:pStyle w:val="3"/>
        <w:numPr>
          <w:ilvl w:val="1"/>
          <w:numId w:val="2"/>
        </w:numPr>
        <w:spacing w:before="120" w:beforeLines="50" w:after="120" w:afterLines="50" w:line="360" w:lineRule="auto"/>
        <w:ind w:left="0" w:firstLine="400" w:firstLineChars="200"/>
        <w:rPr>
          <w:rStyle w:val="14"/>
          <w:rFonts w:ascii="Times New Roman" w:hAnsi="Times New Roman" w:cs="Times New Roman"/>
          <w:b w:val="0"/>
          <w:bCs w:val="0"/>
          <w:color w:val="auto"/>
        </w:rPr>
      </w:pPr>
      <w:r>
        <w:rPr>
          <w:rStyle w:val="14"/>
          <w:rFonts w:ascii="Times New Roman" w:hAnsi="Times New Roman" w:cs="Times New Roman"/>
          <w:b w:val="0"/>
          <w:bCs w:val="0"/>
          <w:color w:val="auto"/>
        </w:rPr>
        <w:t>委托加工</w:t>
      </w:r>
    </w:p>
    <w:p w14:paraId="1C5B2F8E">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食品相关产品委托加工行为应符合法律法规要求，委托方应委托取得相应生产许可资质的生产者生产，对委托生产的产品承担质量安全责任。</w:t>
      </w:r>
    </w:p>
    <w:p w14:paraId="0BE2CBBD">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rPr>
        <w:t>受托方应依照食品相关产品安全标准及合同约定进行生产，对生产行为负责。</w:t>
      </w:r>
    </w:p>
    <w:p w14:paraId="3EFFC6A3">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委托方应对受托方进行评估，评估包括但不限于：生产条件、技术水平、质量安全管理能力 等要素。</w:t>
      </w:r>
    </w:p>
    <w:p w14:paraId="725B3CA2">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委托方应对受托生产的全过程进行监督。</w:t>
      </w:r>
    </w:p>
    <w:p w14:paraId="5D6300F8">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受托方应具备生产符合委托方要求产品所需设施、设备、人员等资源。</w:t>
      </w:r>
    </w:p>
    <w:p w14:paraId="356E18AD">
      <w:pPr>
        <w:pStyle w:val="2"/>
        <w:numPr>
          <w:ilvl w:val="0"/>
          <w:numId w:val="1"/>
        </w:numPr>
        <w:spacing w:before="120" w:beforeLines="50" w:after="120" w:afterLines="50" w:line="360" w:lineRule="auto"/>
        <w:ind w:left="0" w:firstLine="0"/>
        <w:rPr>
          <w:rStyle w:val="14"/>
          <w:rFonts w:ascii="Times New Roman" w:hAnsi="Times New Roman" w:cs="Times New Roman"/>
          <w:b w:val="0"/>
          <w:bCs w:val="0"/>
          <w:color w:val="auto"/>
        </w:rPr>
      </w:pPr>
      <w:bookmarkStart w:id="39" w:name="_Toc32451"/>
      <w:r>
        <w:rPr>
          <w:rStyle w:val="14"/>
          <w:rFonts w:ascii="Times New Roman" w:hAnsi="Times New Roman" w:cs="Times New Roman"/>
          <w:b w:val="0"/>
          <w:bCs w:val="0"/>
          <w:color w:val="auto"/>
        </w:rPr>
        <w:t>基础设施与卫生管理</w:t>
      </w:r>
      <w:bookmarkEnd w:id="39"/>
    </w:p>
    <w:p w14:paraId="179EB594">
      <w:pPr>
        <w:pStyle w:val="35"/>
        <w:keepNext/>
        <w:keepLines/>
        <w:numPr>
          <w:ilvl w:val="0"/>
          <w:numId w:val="2"/>
        </w:numPr>
        <w:spacing w:after="140" w:line="360" w:lineRule="auto"/>
        <w:ind w:firstLineChars="0"/>
        <w:outlineLvl w:val="1"/>
        <w:rPr>
          <w:rStyle w:val="14"/>
          <w:rFonts w:ascii="Times New Roman" w:hAnsi="Times New Roman" w:cs="Times New Roman"/>
          <w:vanish/>
          <w:color w:val="auto"/>
        </w:rPr>
      </w:pPr>
      <w:bookmarkStart w:id="40" w:name="_Toc134611738"/>
      <w:bookmarkEnd w:id="40"/>
    </w:p>
    <w:p w14:paraId="6AA02754">
      <w:pPr>
        <w:pStyle w:val="3"/>
        <w:numPr>
          <w:ilvl w:val="1"/>
          <w:numId w:val="2"/>
        </w:numPr>
        <w:spacing w:before="120" w:beforeLines="50" w:after="120" w:afterLines="50" w:line="360" w:lineRule="auto"/>
        <w:ind w:left="0" w:firstLine="400" w:firstLineChars="200"/>
        <w:rPr>
          <w:rStyle w:val="14"/>
          <w:rFonts w:ascii="Times New Roman" w:hAnsi="Times New Roman" w:cs="Times New Roman"/>
          <w:b w:val="0"/>
          <w:bCs w:val="0"/>
          <w:color w:val="auto"/>
        </w:rPr>
      </w:pPr>
      <w:r>
        <w:rPr>
          <w:rStyle w:val="14"/>
          <w:rFonts w:ascii="Times New Roman" w:hAnsi="Times New Roman" w:cs="Times New Roman"/>
          <w:b w:val="0"/>
          <w:bCs w:val="0"/>
          <w:color w:val="auto"/>
        </w:rPr>
        <w:t>基础设施</w:t>
      </w:r>
    </w:p>
    <w:p w14:paraId="74CC800E">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厂区选址、厂房设计、车间布局和辅助生产设施的设计应符合相应的法律法规与相关标准要求。</w:t>
      </w:r>
    </w:p>
    <w:p w14:paraId="7A15029E">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厂区应与有毒有害污染源保持相应的距离。</w:t>
      </w:r>
    </w:p>
    <w:p w14:paraId="1AAC1639">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厂区道路应硬化</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内外环境应整洁、卫生</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生产区的空气、水质、场地应符合相应生产要求；企业的生产、行政、生活和辅助区的总体布局应合理</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避免交叉污染；企业应根据情况制定和执行虫害控制措施，防止虫害的整生。</w:t>
      </w:r>
    </w:p>
    <w:p w14:paraId="32EFCC97">
      <w:pPr>
        <w:pStyle w:val="3"/>
        <w:numPr>
          <w:ilvl w:val="1"/>
          <w:numId w:val="2"/>
        </w:numPr>
        <w:spacing w:before="120" w:beforeLines="50" w:after="120" w:afterLines="50" w:line="360" w:lineRule="auto"/>
        <w:ind w:left="0" w:firstLine="400" w:firstLineChars="200"/>
        <w:rPr>
          <w:rStyle w:val="14"/>
          <w:rFonts w:ascii="Times New Roman" w:hAnsi="Times New Roman" w:cs="Times New Roman"/>
          <w:b w:val="0"/>
          <w:bCs w:val="0"/>
          <w:color w:val="auto"/>
        </w:rPr>
      </w:pPr>
      <w:r>
        <w:rPr>
          <w:rStyle w:val="14"/>
          <w:rFonts w:ascii="Times New Roman" w:hAnsi="Times New Roman" w:cs="Times New Roman"/>
          <w:b w:val="0"/>
          <w:bCs w:val="0"/>
          <w:color w:val="auto"/>
        </w:rPr>
        <w:t>厂房</w:t>
      </w:r>
    </w:p>
    <w:p w14:paraId="174992BE">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厂房应按生立工艺流程及卫生要求进行合理布局</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并根据不同生产区域的洁净度要求合理划分作业区，对厂区内的生产车间和公共场所实行分级卫生管理</w:t>
      </w:r>
    </w:p>
    <w:p w14:paraId="1585664D">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厂房面积应与生产能力相匹配</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有足够的空间和场地放置设备、物料和产品</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并满足生产操作需要。</w:t>
      </w:r>
    </w:p>
    <w:p w14:paraId="11E9292A">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生产车间与库房的墙壁、地面表面应平整光滑</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以减少灰尘积聚且便于清洁;对于不经清洁直接接触食品的在制品和最终产品</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其生产车间顶棚应易于清洁、消毒</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在结构上不利于冷凝水垂直滴下</w:t>
      </w:r>
    </w:p>
    <w:p w14:paraId="18F50CD2">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同一生产车间内以及相邻生产车间之间的生产操作不应造成交叉污染。不同卫生要求的产品在同一生产区域内生产时</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应保证各产品自身的卫生性能。生产车间内设备与设备间、设备与墙壁间</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应有一定距离</w:t>
      </w:r>
    </w:p>
    <w:p w14:paraId="02FBE882">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应具备与生产能力和卫生要求相匹配的卫生、通风、搬运、输送等设施</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并维护完好。</w:t>
      </w:r>
    </w:p>
    <w:p w14:paraId="7820BBAB">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应按需配备适当的供水设施和排水设施。</w:t>
      </w:r>
    </w:p>
    <w:p w14:paraId="53FEA364">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生产场所设置的水池、地漏等不应对产品造成污染。</w:t>
      </w:r>
    </w:p>
    <w:p w14:paraId="66C55CEE">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应配备足够的清洁设施</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有特殊卫生要求的车间应配备适宜的消毒设施并定期消毒。对于不经清洁直接接触食品的在制品和最终产品</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其生产车间、库房应设置消毒、防尘、防虫害等设施。且不应对产品造成污染。</w:t>
      </w:r>
    </w:p>
    <w:p w14:paraId="1D173F00">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应按需配备废弃物处理设施</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防止对产品造成污染。废水、废气、废料的排放</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噪声污染及卫生要求等应符合国家有关规定。</w:t>
      </w:r>
    </w:p>
    <w:p w14:paraId="3D1C15D5">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对于不经清洁直接接触食品的在制品和最终产品</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应符合以下要求:应在生产车间人口处设置更衣室</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更衣室大小应与生产人员数量相适应</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并保证工作服与个人服装及其他物品分开放置。</w:t>
      </w:r>
    </w:p>
    <w:p w14:paraId="58F71701">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应在生产车间入口处按需设置换鞋(穿戴鞋套)设施或工作鞋靴消毒设施。如设置工作鞋靴消毒设施，其规格尺寸应能满足消毒需要。应在生产车间入口处设置洗手、消毒、除尘设施。</w:t>
      </w:r>
    </w:p>
    <w:p w14:paraId="4466B416">
      <w:pPr>
        <w:pStyle w:val="3"/>
        <w:numPr>
          <w:ilvl w:val="1"/>
          <w:numId w:val="2"/>
        </w:numPr>
        <w:spacing w:before="120" w:beforeLines="50" w:after="120" w:afterLines="50" w:line="360" w:lineRule="auto"/>
        <w:ind w:left="0" w:firstLine="400" w:firstLineChars="200"/>
        <w:rPr>
          <w:rStyle w:val="14"/>
          <w:rFonts w:ascii="Times New Roman" w:hAnsi="Times New Roman" w:cs="Times New Roman"/>
          <w:b w:val="0"/>
          <w:bCs w:val="0"/>
          <w:color w:val="auto"/>
        </w:rPr>
      </w:pPr>
      <w:r>
        <w:rPr>
          <w:rStyle w:val="14"/>
          <w:rFonts w:ascii="Times New Roman" w:hAnsi="Times New Roman" w:cs="Times New Roman"/>
          <w:b w:val="0"/>
          <w:bCs w:val="0"/>
          <w:color w:val="auto"/>
        </w:rPr>
        <w:t>卫生管理</w:t>
      </w:r>
    </w:p>
    <w:p w14:paraId="66FFABA1">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企业的卫生管理制度、厂房及设施卫生管理、人员健康管理与卫生要求、虫害控制、废弃物处理、工作服管理应符合相关标准规定。</w:t>
      </w:r>
    </w:p>
    <w:p w14:paraId="1082E564">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企业应建立从业人员健康管理档案，真实记录从业人员的健康管理状况。直接接触产品的从业人员应取得食品从业人员健康体检合格证明。</w:t>
      </w:r>
    </w:p>
    <w:p w14:paraId="74D28A13">
      <w:pPr>
        <w:pStyle w:val="2"/>
        <w:numPr>
          <w:ilvl w:val="0"/>
          <w:numId w:val="1"/>
        </w:numPr>
        <w:spacing w:before="120" w:beforeLines="50" w:after="120" w:afterLines="50" w:line="360" w:lineRule="auto"/>
        <w:ind w:left="0" w:firstLine="0"/>
        <w:rPr>
          <w:rStyle w:val="14"/>
          <w:rFonts w:ascii="Times New Roman" w:hAnsi="Times New Roman" w:cs="Times New Roman"/>
          <w:b w:val="0"/>
          <w:bCs w:val="0"/>
          <w:color w:val="auto"/>
        </w:rPr>
      </w:pPr>
      <w:bookmarkStart w:id="41" w:name="_Toc1190"/>
      <w:r>
        <w:rPr>
          <w:rStyle w:val="14"/>
          <w:rFonts w:ascii="Times New Roman" w:hAnsi="Times New Roman" w:cs="Times New Roman"/>
          <w:b w:val="0"/>
          <w:bCs w:val="0"/>
          <w:color w:val="auto"/>
        </w:rPr>
        <w:t>设备</w:t>
      </w:r>
      <w:bookmarkEnd w:id="41"/>
    </w:p>
    <w:p w14:paraId="50968B97">
      <w:pPr>
        <w:pStyle w:val="35"/>
        <w:numPr>
          <w:ilvl w:val="0"/>
          <w:numId w:val="2"/>
        </w:numPr>
        <w:tabs>
          <w:tab w:val="left" w:pos="739"/>
        </w:tabs>
        <w:spacing w:line="360" w:lineRule="auto"/>
        <w:ind w:firstLineChars="0"/>
        <w:rPr>
          <w:rStyle w:val="16"/>
          <w:rFonts w:ascii="Times New Roman" w:hAnsi="Times New Roman" w:cs="Times New Roman"/>
          <w:vanish/>
          <w:color w:val="auto"/>
          <w:lang w:val="en-US"/>
        </w:rPr>
      </w:pPr>
    </w:p>
    <w:p w14:paraId="182E21E3">
      <w:pPr>
        <w:pStyle w:val="15"/>
        <w:numPr>
          <w:ilvl w:val="1"/>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应符合GB 31603和相应的审查细则、标准等规定关于设备的相关规定。</w:t>
      </w:r>
    </w:p>
    <w:p w14:paraId="5478C5B7">
      <w:pPr>
        <w:pStyle w:val="15"/>
        <w:numPr>
          <w:ilvl w:val="1"/>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主要生产和检验设备都应有明确的操作规程，并在确认的参数范围内使用。</w:t>
      </w:r>
    </w:p>
    <w:p w14:paraId="66D94635">
      <w:pPr>
        <w:pStyle w:val="15"/>
        <w:numPr>
          <w:ilvl w:val="1"/>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生产区域不应存放与生产无关的设备，不合格或闲置设备应标识设备状态并及时处置。</w:t>
      </w:r>
    </w:p>
    <w:p w14:paraId="15B4128C">
      <w:pPr>
        <w:pStyle w:val="2"/>
        <w:numPr>
          <w:ilvl w:val="0"/>
          <w:numId w:val="1"/>
        </w:numPr>
        <w:spacing w:before="120" w:beforeLines="50" w:after="120" w:afterLines="50" w:line="360" w:lineRule="auto"/>
        <w:ind w:left="0" w:firstLine="0"/>
        <w:rPr>
          <w:rStyle w:val="14"/>
          <w:rFonts w:ascii="Times New Roman" w:hAnsi="Times New Roman" w:cs="Times New Roman"/>
          <w:b w:val="0"/>
          <w:bCs w:val="0"/>
          <w:color w:val="auto"/>
        </w:rPr>
      </w:pPr>
      <w:bookmarkStart w:id="42" w:name="_Toc13255"/>
      <w:r>
        <w:rPr>
          <w:rStyle w:val="14"/>
          <w:rFonts w:ascii="Times New Roman" w:hAnsi="Times New Roman" w:cs="Times New Roman"/>
          <w:b w:val="0"/>
          <w:bCs w:val="0"/>
          <w:color w:val="auto"/>
        </w:rPr>
        <w:t>人员</w:t>
      </w:r>
      <w:bookmarkEnd w:id="42"/>
    </w:p>
    <w:p w14:paraId="736D0FB7">
      <w:pPr>
        <w:pStyle w:val="35"/>
        <w:numPr>
          <w:ilvl w:val="0"/>
          <w:numId w:val="2"/>
        </w:numPr>
        <w:tabs>
          <w:tab w:val="left" w:pos="739"/>
        </w:tabs>
        <w:spacing w:line="360" w:lineRule="auto"/>
        <w:ind w:firstLineChars="0"/>
        <w:rPr>
          <w:rStyle w:val="16"/>
          <w:rFonts w:ascii="Times New Roman" w:hAnsi="Times New Roman" w:cs="Times New Roman"/>
          <w:vanish/>
          <w:color w:val="auto"/>
          <w:lang w:val="en-US"/>
        </w:rPr>
      </w:pPr>
    </w:p>
    <w:p w14:paraId="4A72E452">
      <w:pPr>
        <w:pStyle w:val="15"/>
        <w:numPr>
          <w:ilvl w:val="1"/>
          <w:numId w:val="2"/>
        </w:numPr>
        <w:tabs>
          <w:tab w:val="left" w:pos="739"/>
        </w:tabs>
        <w:spacing w:line="360" w:lineRule="auto"/>
        <w:ind w:left="0" w:firstLine="400" w:firstLineChars="200"/>
        <w:jc w:val="both"/>
        <w:rPr>
          <w:rStyle w:val="16"/>
          <w:rFonts w:ascii="Times New Roman" w:hAnsi="Times New Roman" w:cs="Times New Roman"/>
          <w:color w:val="auto"/>
          <w:lang w:val="en-US"/>
        </w:rPr>
      </w:pPr>
      <w:r>
        <w:rPr>
          <w:rStyle w:val="16"/>
          <w:rFonts w:ascii="Times New Roman" w:hAnsi="Times New Roman" w:cs="Times New Roman"/>
          <w:color w:val="auto"/>
          <w:lang w:val="en-US"/>
        </w:rPr>
        <w:t>应建立产品安全相关岗位的培训制度</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对相关岗位的从业人员进行相应的食品安全知识培训</w:t>
      </w:r>
      <w:r>
        <w:rPr>
          <w:rStyle w:val="16"/>
          <w:rFonts w:hint="eastAsia" w:ascii="Times New Roman" w:hAnsi="Times New Roman" w:cs="Times New Roman"/>
          <w:color w:val="auto"/>
          <w:lang w:val="en-US"/>
        </w:rPr>
        <w:t>。</w:t>
      </w:r>
    </w:p>
    <w:p w14:paraId="1E66F149">
      <w:pPr>
        <w:pStyle w:val="15"/>
        <w:numPr>
          <w:ilvl w:val="1"/>
          <w:numId w:val="2"/>
        </w:numPr>
        <w:tabs>
          <w:tab w:val="left" w:pos="739"/>
        </w:tabs>
        <w:spacing w:line="360" w:lineRule="auto"/>
        <w:ind w:left="0" w:firstLine="400" w:firstLineChars="200"/>
        <w:jc w:val="both"/>
        <w:rPr>
          <w:rStyle w:val="16"/>
          <w:rFonts w:ascii="Times New Roman" w:hAnsi="Times New Roman" w:cs="Times New Roman"/>
          <w:color w:val="auto"/>
          <w:lang w:val="en-US"/>
        </w:rPr>
      </w:pPr>
      <w:r>
        <w:rPr>
          <w:rStyle w:val="16"/>
          <w:rFonts w:ascii="Times New Roman" w:hAnsi="Times New Roman" w:cs="Times New Roman"/>
          <w:color w:val="auto"/>
          <w:lang w:val="en-US"/>
        </w:rPr>
        <w:t>企业负责人应了解其在食品安全管理中的职责与作用</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以及相关的专业技术知识等</w:t>
      </w:r>
      <w:r>
        <w:rPr>
          <w:rStyle w:val="16"/>
          <w:rFonts w:hint="eastAsia" w:ascii="Times New Roman" w:hAnsi="Times New Roman" w:cs="Times New Roman"/>
          <w:color w:val="auto"/>
          <w:lang w:val="en-US"/>
        </w:rPr>
        <w:t>。</w:t>
      </w:r>
    </w:p>
    <w:p w14:paraId="70D745A2">
      <w:pPr>
        <w:pStyle w:val="15"/>
        <w:numPr>
          <w:ilvl w:val="1"/>
          <w:numId w:val="2"/>
        </w:numPr>
        <w:tabs>
          <w:tab w:val="left" w:pos="739"/>
        </w:tabs>
        <w:spacing w:line="360" w:lineRule="auto"/>
        <w:ind w:left="0" w:firstLine="400" w:firstLineChars="200"/>
        <w:jc w:val="both"/>
        <w:rPr>
          <w:rStyle w:val="16"/>
          <w:rFonts w:ascii="Times New Roman" w:hAnsi="Times New Roman" w:cs="Times New Roman"/>
          <w:color w:val="auto"/>
          <w:lang w:val="en-US"/>
        </w:rPr>
      </w:pPr>
      <w:r>
        <w:rPr>
          <w:rStyle w:val="16"/>
          <w:rFonts w:ascii="Times New Roman" w:hAnsi="Times New Roman" w:cs="Times New Roman"/>
          <w:color w:val="auto"/>
          <w:lang w:val="en-US"/>
        </w:rPr>
        <w:t>企业应有专人负责与食品安全相关的工作</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相关人员应具有产品安全管理的知识和经验</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有能力立品生产过程中出现的食品安全问题做出正确处理。</w:t>
      </w:r>
    </w:p>
    <w:p w14:paraId="7F512195">
      <w:pPr>
        <w:pStyle w:val="15"/>
        <w:numPr>
          <w:ilvl w:val="1"/>
          <w:numId w:val="2"/>
        </w:numPr>
        <w:tabs>
          <w:tab w:val="left" w:pos="739"/>
        </w:tabs>
        <w:spacing w:line="360" w:lineRule="auto"/>
        <w:ind w:left="0" w:firstLine="400" w:firstLineChars="200"/>
        <w:jc w:val="both"/>
        <w:rPr>
          <w:rStyle w:val="16"/>
          <w:rFonts w:ascii="Times New Roman" w:hAnsi="Times New Roman" w:cs="Times New Roman"/>
          <w:color w:val="auto"/>
          <w:lang w:val="en-US"/>
        </w:rPr>
      </w:pPr>
      <w:r>
        <w:rPr>
          <w:rStyle w:val="16"/>
          <w:rFonts w:ascii="Times New Roman" w:hAnsi="Times New Roman" w:cs="Times New Roman"/>
          <w:color w:val="auto"/>
          <w:lang w:val="en-US"/>
        </w:rPr>
        <w:t>生产操作人员应熟悉自己的岗位职责</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具有与其职责相适应的基础理论知识和实际操作技能</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能练地按工艺文件进行生产操作。</w:t>
      </w:r>
    </w:p>
    <w:p w14:paraId="22DF31AE">
      <w:pPr>
        <w:pStyle w:val="15"/>
        <w:numPr>
          <w:ilvl w:val="1"/>
          <w:numId w:val="2"/>
        </w:numPr>
        <w:tabs>
          <w:tab w:val="left" w:pos="739"/>
        </w:tabs>
        <w:spacing w:line="360" w:lineRule="auto"/>
        <w:ind w:left="0" w:firstLine="400" w:firstLineChars="200"/>
        <w:jc w:val="both"/>
        <w:rPr>
          <w:rStyle w:val="16"/>
          <w:rFonts w:ascii="Times New Roman" w:hAnsi="Times New Roman" w:cs="Times New Roman"/>
          <w:color w:val="auto"/>
          <w:lang w:val="en-US"/>
        </w:rPr>
      </w:pPr>
      <w:r>
        <w:rPr>
          <w:rStyle w:val="16"/>
          <w:rFonts w:ascii="Times New Roman" w:hAnsi="Times New Roman" w:cs="Times New Roman"/>
          <w:color w:val="auto"/>
          <w:lang w:val="en-US"/>
        </w:rPr>
        <w:t>检验人员应熟悉产品检验规定</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具有与工作相适应的食品安全知识、技能和相应的资格</w:t>
      </w:r>
    </w:p>
    <w:p w14:paraId="6CDA7E9C">
      <w:pPr>
        <w:pStyle w:val="2"/>
        <w:numPr>
          <w:ilvl w:val="0"/>
          <w:numId w:val="1"/>
        </w:numPr>
        <w:spacing w:before="120" w:beforeLines="50" w:after="120" w:afterLines="50" w:line="360" w:lineRule="auto"/>
        <w:ind w:left="0" w:firstLine="0"/>
        <w:rPr>
          <w:rStyle w:val="14"/>
          <w:rFonts w:ascii="Times New Roman" w:hAnsi="Times New Roman" w:cs="Times New Roman"/>
          <w:b w:val="0"/>
          <w:bCs w:val="0"/>
          <w:color w:val="auto"/>
        </w:rPr>
      </w:pPr>
      <w:bookmarkStart w:id="43" w:name="_Toc14397"/>
      <w:r>
        <w:rPr>
          <w:rStyle w:val="14"/>
          <w:rFonts w:ascii="Times New Roman" w:hAnsi="Times New Roman" w:cs="Times New Roman"/>
          <w:b w:val="0"/>
          <w:bCs w:val="0"/>
          <w:color w:val="auto"/>
        </w:rPr>
        <w:t>物料</w:t>
      </w:r>
      <w:bookmarkEnd w:id="43"/>
    </w:p>
    <w:p w14:paraId="295E654C">
      <w:pPr>
        <w:pStyle w:val="35"/>
        <w:numPr>
          <w:ilvl w:val="0"/>
          <w:numId w:val="2"/>
        </w:numPr>
        <w:tabs>
          <w:tab w:val="left" w:pos="739"/>
        </w:tabs>
        <w:spacing w:line="360" w:lineRule="auto"/>
        <w:ind w:firstLineChars="0"/>
        <w:rPr>
          <w:rStyle w:val="16"/>
          <w:rFonts w:ascii="Times New Roman" w:hAnsi="Times New Roman" w:cs="Times New Roman"/>
          <w:vanish/>
          <w:color w:val="auto"/>
          <w:lang w:val="en-US"/>
        </w:rPr>
      </w:pPr>
    </w:p>
    <w:p w14:paraId="1233092A">
      <w:pPr>
        <w:pStyle w:val="15"/>
        <w:numPr>
          <w:ilvl w:val="1"/>
          <w:numId w:val="2"/>
        </w:numPr>
        <w:tabs>
          <w:tab w:val="left" w:pos="739"/>
        </w:tabs>
        <w:spacing w:line="360" w:lineRule="auto"/>
        <w:ind w:left="0" w:firstLine="400" w:firstLineChars="200"/>
        <w:rPr>
          <w:rStyle w:val="16"/>
          <w:rFonts w:ascii="Times New Roman" w:hAnsi="Times New Roman" w:cs="Times New Roman"/>
          <w:color w:val="auto"/>
          <w:highlight w:val="none"/>
          <w:lang w:val="en-US"/>
        </w:rPr>
      </w:pPr>
      <w:r>
        <w:rPr>
          <w:rStyle w:val="16"/>
          <w:rFonts w:ascii="Times New Roman" w:hAnsi="Times New Roman" w:cs="Times New Roman"/>
          <w:color w:val="auto"/>
          <w:highlight w:val="none"/>
          <w:lang w:val="en-US"/>
        </w:rPr>
        <w:t>原辅料应</w:t>
      </w:r>
      <w:r>
        <w:rPr>
          <w:rStyle w:val="16"/>
          <w:rFonts w:ascii="Times New Roman" w:hAnsi="Times New Roman" w:cs="Times New Roman"/>
          <w:color w:val="auto"/>
          <w:lang w:val="en-US"/>
        </w:rPr>
        <w:t>符合GB 31603、GB 4806</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6、GB9685和GB 14930</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1</w:t>
      </w:r>
      <w:r>
        <w:rPr>
          <w:rStyle w:val="16"/>
          <w:rFonts w:hint="eastAsia" w:ascii="Times New Roman" w:hAnsi="Times New Roman" w:cs="Times New Roman"/>
          <w:color w:val="auto"/>
          <w:lang w:val="en-US"/>
        </w:rPr>
        <w:t>等标准</w:t>
      </w:r>
      <w:r>
        <w:rPr>
          <w:rStyle w:val="16"/>
          <w:rFonts w:ascii="Times New Roman" w:hAnsi="Times New Roman" w:cs="Times New Roman"/>
          <w:color w:val="auto"/>
          <w:lang w:val="en-US"/>
        </w:rPr>
        <w:t>对物料的相关规定，不得使用不符合食品安全标准及相关公告的原辅料和添加剂，以及其他可能危害人体健康的物质生产的食品相关产品，或者超范围、超限量使用添加剂生产的食品相关产品；不得使用致病性微生物，农药残留、兽药残留、生物毒素、重金属等污染物质以及其他危害人体健康的物质含量和迁移量超过食品安全标准限量的食品相关产品；不得在食品相关产品中掺杂、掺假，以假充真，以次充好或者以不合格食品相关产品冒充合格食品相关产品；</w:t>
      </w:r>
      <w:r>
        <w:rPr>
          <w:rStyle w:val="16"/>
          <w:rFonts w:ascii="Times New Roman" w:hAnsi="Times New Roman" w:cs="Times New Roman"/>
          <w:color w:val="auto"/>
          <w:highlight w:val="none"/>
          <w:lang w:val="en-US"/>
        </w:rPr>
        <w:t>对首次使用的原辅料、配方和生产工艺进行安全评估并验证，检测主要控制指标并记录。试制品经检测合格后，方可投入批量生产。如原辅料及工艺等发生变更应重新进行评估并记录。</w:t>
      </w:r>
    </w:p>
    <w:p w14:paraId="051C0E0D">
      <w:pPr>
        <w:pStyle w:val="15"/>
        <w:numPr>
          <w:ilvl w:val="1"/>
          <w:numId w:val="2"/>
        </w:numPr>
        <w:tabs>
          <w:tab w:val="left" w:pos="739"/>
        </w:tabs>
        <w:spacing w:line="360" w:lineRule="auto"/>
        <w:ind w:left="0" w:firstLine="400" w:firstLineChars="200"/>
        <w:jc w:val="both"/>
        <w:rPr>
          <w:rStyle w:val="16"/>
          <w:rFonts w:ascii="Times New Roman" w:hAnsi="Times New Roman" w:cs="Times New Roman"/>
          <w:color w:val="auto"/>
          <w:lang w:val="en-US"/>
        </w:rPr>
      </w:pPr>
      <w:r>
        <w:rPr>
          <w:rStyle w:val="16"/>
          <w:rFonts w:ascii="Times New Roman" w:hAnsi="Times New Roman" w:cs="Times New Roman"/>
          <w:color w:val="auto"/>
          <w:lang w:val="en-US"/>
        </w:rPr>
        <w:t>企业应建立供应商评价制度，定期按制度对与食品相关产品生产有关的供应商进行评价。评价至少包括： 供应商的资质证明文件、质量标准、检验报告、企业对物料样品的检验数据和报告等。</w:t>
      </w:r>
    </w:p>
    <w:p w14:paraId="5E076758">
      <w:pPr>
        <w:pStyle w:val="15"/>
        <w:numPr>
          <w:ilvl w:val="1"/>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供应商为经销商时，企业应要求其提供生产者的信息，并应按制度进行评价。</w:t>
      </w:r>
    </w:p>
    <w:p w14:paraId="5F06B1D3">
      <w:pPr>
        <w:pStyle w:val="15"/>
        <w:numPr>
          <w:ilvl w:val="1"/>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变更或新增供应商时，应按制度进行评价。评价内容宜增加工艺要求对产品进行相关的验证及稳定性考察。</w:t>
      </w:r>
    </w:p>
    <w:p w14:paraId="7D3ADAAB">
      <w:pPr>
        <w:pStyle w:val="2"/>
        <w:numPr>
          <w:ilvl w:val="0"/>
          <w:numId w:val="1"/>
        </w:numPr>
        <w:spacing w:before="120" w:beforeLines="50" w:after="120" w:afterLines="50" w:line="360" w:lineRule="auto"/>
        <w:ind w:left="0" w:firstLine="0"/>
        <w:rPr>
          <w:rStyle w:val="14"/>
          <w:rFonts w:ascii="Times New Roman" w:hAnsi="Times New Roman" w:cs="Times New Roman"/>
          <w:b w:val="0"/>
          <w:bCs w:val="0"/>
          <w:color w:val="auto"/>
        </w:rPr>
      </w:pPr>
      <w:bookmarkStart w:id="44" w:name="_Toc14523"/>
      <w:r>
        <w:rPr>
          <w:rStyle w:val="14"/>
          <w:rFonts w:ascii="Times New Roman" w:hAnsi="Times New Roman" w:cs="Times New Roman"/>
          <w:b w:val="0"/>
          <w:bCs w:val="0"/>
          <w:color w:val="auto"/>
        </w:rPr>
        <w:t>生产过程产品安全控制</w:t>
      </w:r>
      <w:bookmarkEnd w:id="44"/>
    </w:p>
    <w:p w14:paraId="5BFCBBD7">
      <w:pPr>
        <w:pStyle w:val="35"/>
        <w:keepNext/>
        <w:keepLines/>
        <w:numPr>
          <w:ilvl w:val="0"/>
          <w:numId w:val="2"/>
        </w:numPr>
        <w:spacing w:after="140" w:line="360" w:lineRule="auto"/>
        <w:ind w:firstLineChars="0"/>
        <w:outlineLvl w:val="1"/>
        <w:rPr>
          <w:rStyle w:val="14"/>
          <w:rFonts w:ascii="Times New Roman" w:hAnsi="Times New Roman" w:cs="Times New Roman"/>
          <w:vanish/>
          <w:color w:val="auto"/>
        </w:rPr>
      </w:pPr>
      <w:bookmarkStart w:id="45" w:name="_Toc134611746"/>
      <w:bookmarkEnd w:id="45"/>
    </w:p>
    <w:p w14:paraId="49817D87">
      <w:pPr>
        <w:pStyle w:val="3"/>
        <w:numPr>
          <w:ilvl w:val="1"/>
          <w:numId w:val="2"/>
        </w:numPr>
        <w:spacing w:before="120" w:beforeLines="50" w:after="120" w:afterLines="50" w:line="360" w:lineRule="auto"/>
        <w:ind w:left="0" w:firstLine="400" w:firstLineChars="200"/>
        <w:rPr>
          <w:rStyle w:val="14"/>
          <w:rFonts w:ascii="Times New Roman" w:hAnsi="Times New Roman" w:cs="Times New Roman"/>
          <w:b w:val="0"/>
          <w:bCs w:val="0"/>
          <w:color w:val="auto"/>
        </w:rPr>
      </w:pPr>
      <w:r>
        <w:rPr>
          <w:rStyle w:val="14"/>
          <w:rFonts w:ascii="Times New Roman" w:hAnsi="Times New Roman" w:cs="Times New Roman"/>
          <w:b w:val="0"/>
          <w:bCs w:val="0"/>
          <w:color w:val="auto"/>
        </w:rPr>
        <w:t>一般要求</w:t>
      </w:r>
    </w:p>
    <w:p w14:paraId="4EA0D047">
      <w:pPr>
        <w:pStyle w:val="15"/>
        <w:spacing w:after="140" w:line="360" w:lineRule="auto"/>
        <w:ind w:firstLine="440"/>
        <w:rPr>
          <w:rFonts w:ascii="Times New Roman" w:hAnsi="Times New Roman" w:cs="Times New Roman"/>
          <w:color w:val="auto"/>
        </w:rPr>
      </w:pPr>
      <w:r>
        <w:rPr>
          <w:rStyle w:val="16"/>
          <w:rFonts w:ascii="Times New Roman" w:hAnsi="Times New Roman" w:cs="Times New Roman"/>
          <w:color w:val="auto"/>
          <w:lang w:val="en-US"/>
        </w:rPr>
        <w:t>食品相关产品</w:t>
      </w:r>
      <w:r>
        <w:rPr>
          <w:rStyle w:val="16"/>
          <w:rFonts w:ascii="Times New Roman" w:hAnsi="Times New Roman" w:cs="Times New Roman"/>
          <w:color w:val="auto"/>
        </w:rPr>
        <w:t>应符合</w:t>
      </w:r>
      <w:r>
        <w:rPr>
          <w:rStyle w:val="16"/>
          <w:rFonts w:hint="eastAsia" w:ascii="Times New Roman" w:hAnsi="Times New Roman" w:cs="Times New Roman"/>
          <w:color w:val="auto"/>
        </w:rPr>
        <w:t>相应标准及法律法规等要求，食品接触材料制品应符合</w:t>
      </w:r>
      <w:r>
        <w:rPr>
          <w:rStyle w:val="16"/>
          <w:rFonts w:ascii="Times New Roman" w:hAnsi="Times New Roman" w:cs="Times New Roman"/>
          <w:color w:val="auto"/>
        </w:rPr>
        <w:t xml:space="preserve">GB </w:t>
      </w:r>
      <w:r>
        <w:rPr>
          <w:rStyle w:val="16"/>
          <w:rFonts w:ascii="Times New Roman" w:hAnsi="Times New Roman" w:cs="Times New Roman"/>
          <w:color w:val="auto"/>
          <w:lang w:val="en-US"/>
        </w:rPr>
        <w:t>31603</w:t>
      </w:r>
      <w:r>
        <w:rPr>
          <w:rStyle w:val="16"/>
          <w:rFonts w:ascii="Times New Roman" w:hAnsi="Times New Roman" w:cs="Times New Roman"/>
          <w:color w:val="auto"/>
        </w:rPr>
        <w:t>对生产过程管理和控制的相关规定。</w:t>
      </w:r>
    </w:p>
    <w:p w14:paraId="25B93F31">
      <w:pPr>
        <w:pStyle w:val="3"/>
        <w:numPr>
          <w:ilvl w:val="1"/>
          <w:numId w:val="2"/>
        </w:numPr>
        <w:spacing w:before="120" w:beforeLines="50" w:after="120" w:afterLines="50" w:line="360" w:lineRule="auto"/>
        <w:ind w:left="0" w:firstLine="400" w:firstLineChars="200"/>
        <w:rPr>
          <w:rStyle w:val="14"/>
          <w:rFonts w:ascii="Times New Roman" w:hAnsi="Times New Roman" w:cs="Times New Roman"/>
          <w:b w:val="0"/>
          <w:bCs w:val="0"/>
          <w:color w:val="auto"/>
        </w:rPr>
      </w:pPr>
      <w:r>
        <w:rPr>
          <w:rStyle w:val="14"/>
          <w:rFonts w:ascii="Times New Roman" w:hAnsi="Times New Roman" w:cs="Times New Roman"/>
          <w:b w:val="0"/>
          <w:bCs w:val="0"/>
          <w:color w:val="auto"/>
        </w:rPr>
        <w:t>关键控制点</w:t>
      </w:r>
    </w:p>
    <w:p w14:paraId="25F2721E">
      <w:pPr>
        <w:pStyle w:val="15"/>
        <w:tabs>
          <w:tab w:val="left" w:pos="621"/>
        </w:tabs>
        <w:spacing w:line="360" w:lineRule="auto"/>
        <w:ind w:firstLine="400" w:firstLineChars="200"/>
        <w:rPr>
          <w:rStyle w:val="16"/>
          <w:rFonts w:ascii="Times New Roman" w:hAnsi="Times New Roman" w:cs="Times New Roman"/>
          <w:color w:val="auto"/>
          <w:highlight w:val="none"/>
        </w:rPr>
      </w:pPr>
      <w:r>
        <w:rPr>
          <w:rStyle w:val="16"/>
          <w:rFonts w:ascii="Times New Roman" w:hAnsi="Times New Roman" w:cs="Times New Roman"/>
          <w:color w:val="auto"/>
          <w:highlight w:val="none"/>
        </w:rPr>
        <w:t>应通过危害分析方法明确生立过程中影响产品安全的关键环节</w:t>
      </w:r>
      <w:r>
        <w:rPr>
          <w:rStyle w:val="16"/>
          <w:rFonts w:hint="eastAsia" w:ascii="Times New Roman" w:hAnsi="Times New Roman" w:cs="Times New Roman"/>
          <w:color w:val="auto"/>
          <w:highlight w:val="none"/>
        </w:rPr>
        <w:t>，</w:t>
      </w:r>
      <w:r>
        <w:rPr>
          <w:rStyle w:val="16"/>
          <w:rFonts w:ascii="Times New Roman" w:hAnsi="Times New Roman" w:cs="Times New Roman"/>
          <w:color w:val="auto"/>
          <w:highlight w:val="none"/>
        </w:rPr>
        <w:t>并建立相应的控制措施。应对关键控制环节实施严格监控</w:t>
      </w:r>
      <w:r>
        <w:rPr>
          <w:rStyle w:val="16"/>
          <w:rFonts w:hint="eastAsia" w:ascii="Times New Roman" w:hAnsi="Times New Roman" w:cs="Times New Roman"/>
          <w:color w:val="auto"/>
          <w:highlight w:val="none"/>
        </w:rPr>
        <w:t>，</w:t>
      </w:r>
      <w:r>
        <w:rPr>
          <w:rStyle w:val="16"/>
          <w:rFonts w:ascii="Times New Roman" w:hAnsi="Times New Roman" w:cs="Times New Roman"/>
          <w:color w:val="auto"/>
          <w:highlight w:val="none"/>
        </w:rPr>
        <w:t>落实控制措施的相关文件</w:t>
      </w:r>
      <w:r>
        <w:rPr>
          <w:rStyle w:val="16"/>
          <w:rFonts w:hint="eastAsia" w:ascii="Times New Roman" w:hAnsi="Times New Roman" w:cs="Times New Roman"/>
          <w:color w:val="auto"/>
          <w:highlight w:val="none"/>
        </w:rPr>
        <w:t>，</w:t>
      </w:r>
      <w:r>
        <w:rPr>
          <w:rStyle w:val="16"/>
          <w:rFonts w:ascii="Times New Roman" w:hAnsi="Times New Roman" w:cs="Times New Roman"/>
          <w:color w:val="auto"/>
          <w:highlight w:val="none"/>
        </w:rPr>
        <w:t>如</w:t>
      </w:r>
      <w:r>
        <w:rPr>
          <w:rStyle w:val="16"/>
          <w:rFonts w:hint="eastAsia" w:ascii="Times New Roman" w:hAnsi="Times New Roman" w:cs="Times New Roman"/>
          <w:color w:val="auto"/>
          <w:highlight w:val="none"/>
        </w:rPr>
        <w:t>工艺文件</w:t>
      </w:r>
      <w:r>
        <w:rPr>
          <w:rStyle w:val="16"/>
          <w:rFonts w:ascii="Times New Roman" w:hAnsi="Times New Roman" w:cs="Times New Roman"/>
          <w:color w:val="auto"/>
          <w:highlight w:val="none"/>
        </w:rPr>
        <w:t>、岗位操作规程等</w:t>
      </w:r>
      <w:r>
        <w:rPr>
          <w:rStyle w:val="16"/>
          <w:rFonts w:hint="eastAsia" w:ascii="Times New Roman" w:hAnsi="Times New Roman" w:cs="Times New Roman"/>
          <w:color w:val="auto"/>
          <w:highlight w:val="none"/>
        </w:rPr>
        <w:t>，</w:t>
      </w:r>
      <w:r>
        <w:rPr>
          <w:rStyle w:val="16"/>
          <w:rFonts w:ascii="Times New Roman" w:hAnsi="Times New Roman" w:cs="Times New Roman"/>
          <w:color w:val="auto"/>
          <w:highlight w:val="none"/>
        </w:rPr>
        <w:t>并建立可追</w:t>
      </w:r>
      <w:r>
        <w:rPr>
          <w:rStyle w:val="16"/>
          <w:rFonts w:ascii="Times New Roman" w:hAnsi="Times New Roman" w:cs="Times New Roman"/>
          <w:color w:val="auto"/>
          <w:highlight w:val="none"/>
          <w:lang w:val="en-US"/>
        </w:rPr>
        <w:t>溯</w:t>
      </w:r>
      <w:r>
        <w:rPr>
          <w:rStyle w:val="16"/>
          <w:rFonts w:ascii="Times New Roman" w:hAnsi="Times New Roman" w:cs="Times New Roman"/>
          <w:color w:val="auto"/>
          <w:highlight w:val="none"/>
        </w:rPr>
        <w:t>性记录。</w:t>
      </w:r>
    </w:p>
    <w:p w14:paraId="62AC4A64">
      <w:pPr>
        <w:pStyle w:val="15"/>
        <w:tabs>
          <w:tab w:val="left" w:pos="621"/>
        </w:tabs>
        <w:spacing w:line="360" w:lineRule="auto"/>
        <w:ind w:firstLine="400" w:firstLineChars="200"/>
        <w:rPr>
          <w:rStyle w:val="16"/>
          <w:rFonts w:ascii="Times New Roman" w:hAnsi="Times New Roman" w:cs="Times New Roman"/>
          <w:color w:val="auto"/>
        </w:rPr>
      </w:pPr>
      <w:r>
        <w:rPr>
          <w:rFonts w:ascii="Times New Roman" w:hAnsi="Times New Roman" w:cs="Times New Roman"/>
          <w:color w:val="auto"/>
        </w:rPr>
        <w:t xml:space="preserve"> 生产过程中应采取措施识别、防止和消除外来异物的污染风险并防止交叉污染</w:t>
      </w:r>
      <w:r>
        <w:rPr>
          <w:rFonts w:hint="eastAsia" w:ascii="Times New Roman" w:hAnsi="Times New Roman" w:cs="Times New Roman"/>
          <w:color w:val="auto"/>
          <w:lang w:eastAsia="zh-CN"/>
        </w:rPr>
        <w:t>，</w:t>
      </w:r>
      <w:r>
        <w:rPr>
          <w:rFonts w:ascii="Times New Roman" w:hAnsi="Times New Roman" w:cs="Times New Roman"/>
          <w:color w:val="auto"/>
        </w:rPr>
        <w:t>外来异物包括但不限于非生产性玻璃、易碎塑料、木头及其他易与</w:t>
      </w:r>
      <w:r>
        <w:rPr>
          <w:rFonts w:hint="eastAsia" w:ascii="Times New Roman" w:hAnsi="Times New Roman" w:cs="Times New Roman"/>
          <w:color w:val="auto"/>
          <w:lang w:eastAsia="zh-CN"/>
        </w:rPr>
        <w:t>包</w:t>
      </w:r>
      <w:r>
        <w:rPr>
          <w:rFonts w:ascii="Times New Roman" w:hAnsi="Times New Roman" w:cs="Times New Roman"/>
          <w:color w:val="auto"/>
        </w:rPr>
        <w:t>装材料相混淆的材</w:t>
      </w:r>
      <w:r>
        <w:rPr>
          <w:rFonts w:hint="eastAsia" w:ascii="Times New Roman" w:hAnsi="Times New Roman" w:cs="Times New Roman"/>
          <w:color w:val="auto"/>
          <w:lang w:eastAsia="zh-CN"/>
        </w:rPr>
        <w:t>料</w:t>
      </w:r>
      <w:r>
        <w:rPr>
          <w:rStyle w:val="16"/>
          <w:rFonts w:ascii="Times New Roman" w:hAnsi="Times New Roman" w:cs="Times New Roman"/>
          <w:color w:val="auto"/>
        </w:rPr>
        <w:t>。</w:t>
      </w:r>
    </w:p>
    <w:p w14:paraId="769CEBD7">
      <w:pPr>
        <w:pStyle w:val="3"/>
        <w:numPr>
          <w:ilvl w:val="1"/>
          <w:numId w:val="2"/>
        </w:numPr>
        <w:spacing w:before="120" w:beforeLines="50" w:after="120" w:afterLines="50" w:line="360" w:lineRule="auto"/>
        <w:ind w:left="0" w:firstLine="400" w:firstLineChars="200"/>
        <w:rPr>
          <w:rStyle w:val="14"/>
          <w:rFonts w:ascii="Times New Roman" w:hAnsi="Times New Roman" w:cs="Times New Roman"/>
          <w:b w:val="0"/>
          <w:bCs w:val="0"/>
          <w:color w:val="auto"/>
        </w:rPr>
      </w:pPr>
      <w:r>
        <w:rPr>
          <w:rStyle w:val="14"/>
          <w:rFonts w:ascii="Times New Roman" w:hAnsi="Times New Roman" w:cs="Times New Roman"/>
          <w:b w:val="0"/>
          <w:bCs w:val="0"/>
          <w:color w:val="auto"/>
        </w:rPr>
        <w:t>印刷卫生要求</w:t>
      </w:r>
    </w:p>
    <w:p w14:paraId="50A6AB28">
      <w:pPr>
        <w:pStyle w:val="15"/>
        <w:tabs>
          <w:tab w:val="left" w:pos="621"/>
        </w:tabs>
        <w:spacing w:line="360" w:lineRule="auto"/>
        <w:ind w:firstLine="400" w:firstLineChars="200"/>
        <w:rPr>
          <w:rStyle w:val="16"/>
          <w:rFonts w:ascii="Times New Roman" w:hAnsi="Times New Roman" w:cs="Times New Roman"/>
          <w:color w:val="auto"/>
        </w:rPr>
      </w:pPr>
      <w:r>
        <w:rPr>
          <w:rStyle w:val="16"/>
          <w:rFonts w:ascii="Times New Roman" w:hAnsi="Times New Roman" w:cs="Times New Roman"/>
          <w:color w:val="auto"/>
        </w:rPr>
        <w:t xml:space="preserve"> 用于食品接触材料及制品的印刷油墨应符合国家相关法律法规和标准的要求</w:t>
      </w:r>
      <w:r>
        <w:rPr>
          <w:rStyle w:val="16"/>
          <w:rFonts w:hint="eastAsia" w:ascii="Times New Roman" w:hAnsi="Times New Roman" w:cs="Times New Roman"/>
          <w:color w:val="auto"/>
        </w:rPr>
        <w:t>。</w:t>
      </w:r>
      <w:r>
        <w:rPr>
          <w:rStyle w:val="16"/>
          <w:rFonts w:ascii="Times New Roman" w:hAnsi="Times New Roman" w:cs="Times New Roman"/>
          <w:color w:val="auto"/>
        </w:rPr>
        <w:t>用于食品接触材料及制品非食品接触面的印刷油墨层不应与食品直接接触。在印刷油墨的配方设计、涂覆过程以及印刷半成品或成品的处理、贮存过程中</w:t>
      </w:r>
      <w:r>
        <w:rPr>
          <w:rStyle w:val="16"/>
          <w:rFonts w:hint="eastAsia" w:ascii="Times New Roman" w:hAnsi="Times New Roman" w:cs="Times New Roman"/>
          <w:color w:val="auto"/>
        </w:rPr>
        <w:t>，</w:t>
      </w:r>
      <w:r>
        <w:rPr>
          <w:rStyle w:val="16"/>
          <w:rFonts w:ascii="Times New Roman" w:hAnsi="Times New Roman" w:cs="Times New Roman"/>
          <w:color w:val="auto"/>
        </w:rPr>
        <w:t>应确保印刷油墨不易从食品接触材料及制品上脱落</w:t>
      </w:r>
      <w:r>
        <w:rPr>
          <w:rStyle w:val="16"/>
          <w:rFonts w:hint="eastAsia" w:ascii="Times New Roman" w:hAnsi="Times New Roman" w:cs="Times New Roman"/>
          <w:color w:val="auto"/>
        </w:rPr>
        <w:t>。</w:t>
      </w:r>
    </w:p>
    <w:p w14:paraId="6161DF3C">
      <w:pPr>
        <w:pStyle w:val="15"/>
        <w:tabs>
          <w:tab w:val="left" w:pos="621"/>
        </w:tabs>
        <w:spacing w:line="360" w:lineRule="auto"/>
        <w:ind w:firstLine="400" w:firstLineChars="200"/>
        <w:rPr>
          <w:rStyle w:val="16"/>
          <w:rFonts w:ascii="Times New Roman" w:hAnsi="Times New Roman" w:cs="Times New Roman"/>
          <w:color w:val="auto"/>
        </w:rPr>
      </w:pPr>
      <w:r>
        <w:rPr>
          <w:rStyle w:val="16"/>
          <w:rFonts w:ascii="Times New Roman" w:hAnsi="Times New Roman" w:cs="Times New Roman"/>
          <w:color w:val="auto"/>
        </w:rPr>
        <w:t>在印刷油墨的配方设计、涂覆过程以及印刷半成品或成品的处理、贮存过程中</w:t>
      </w:r>
      <w:r>
        <w:rPr>
          <w:rStyle w:val="16"/>
          <w:rFonts w:hint="eastAsia" w:ascii="Times New Roman" w:hAnsi="Times New Roman" w:cs="Times New Roman"/>
          <w:color w:val="auto"/>
        </w:rPr>
        <w:t>，</w:t>
      </w:r>
      <w:r>
        <w:rPr>
          <w:rStyle w:val="16"/>
          <w:rFonts w:ascii="Times New Roman" w:hAnsi="Times New Roman" w:cs="Times New Roman"/>
          <w:color w:val="auto"/>
        </w:rPr>
        <w:t>应严格控制通过渗透过基材、因堆叠或卷绕引起的黏粘等方式造成的从印刷面转移到食品接触面的物质</w:t>
      </w:r>
      <w:r>
        <w:rPr>
          <w:rStyle w:val="16"/>
          <w:rFonts w:hint="eastAsia" w:ascii="Times New Roman" w:hAnsi="Times New Roman" w:cs="Times New Roman"/>
          <w:color w:val="auto"/>
        </w:rPr>
        <w:t>，</w:t>
      </w:r>
      <w:r>
        <w:rPr>
          <w:rStyle w:val="16"/>
          <w:rFonts w:ascii="Times New Roman" w:hAnsi="Times New Roman" w:cs="Times New Roman"/>
          <w:color w:val="auto"/>
        </w:rPr>
        <w:t>确保其最终迁移到食品中的物质浓度符合食品安全要求，即不应危害人体健康和造成食品特性的改变</w:t>
      </w:r>
      <w:r>
        <w:rPr>
          <w:rStyle w:val="16"/>
          <w:rFonts w:hint="eastAsia" w:ascii="Times New Roman" w:hAnsi="Times New Roman" w:cs="Times New Roman"/>
          <w:color w:val="auto"/>
        </w:rPr>
        <w:t>。</w:t>
      </w:r>
    </w:p>
    <w:p w14:paraId="41AF94D7">
      <w:pPr>
        <w:pStyle w:val="3"/>
        <w:numPr>
          <w:ilvl w:val="1"/>
          <w:numId w:val="2"/>
        </w:numPr>
        <w:spacing w:before="120" w:beforeLines="50" w:after="120" w:afterLines="50" w:line="360" w:lineRule="auto"/>
        <w:ind w:left="0" w:firstLine="400" w:firstLineChars="200"/>
        <w:rPr>
          <w:rStyle w:val="14"/>
          <w:rFonts w:ascii="Times New Roman" w:hAnsi="Times New Roman" w:cs="Times New Roman"/>
          <w:b w:val="0"/>
          <w:bCs w:val="0"/>
          <w:color w:val="auto"/>
        </w:rPr>
      </w:pPr>
      <w:r>
        <w:rPr>
          <w:rStyle w:val="14"/>
          <w:rFonts w:ascii="Times New Roman" w:hAnsi="Times New Roman" w:cs="Times New Roman"/>
          <w:b w:val="0"/>
          <w:bCs w:val="0"/>
          <w:color w:val="auto"/>
        </w:rPr>
        <w:t>包装、贮存、运输卫生要求</w:t>
      </w:r>
    </w:p>
    <w:p w14:paraId="40D5C627">
      <w:pPr>
        <w:pStyle w:val="15"/>
        <w:tabs>
          <w:tab w:val="left" w:pos="621"/>
        </w:tabs>
        <w:spacing w:line="360" w:lineRule="auto"/>
        <w:ind w:firstLine="400" w:firstLineChars="200"/>
        <w:jc w:val="both"/>
        <w:rPr>
          <w:rStyle w:val="16"/>
          <w:rFonts w:ascii="Times New Roman" w:hAnsi="Times New Roman" w:cs="Times New Roman"/>
          <w:color w:val="auto"/>
        </w:rPr>
      </w:pPr>
      <w:r>
        <w:rPr>
          <w:rStyle w:val="16"/>
          <w:rFonts w:ascii="Times New Roman" w:hAnsi="Times New Roman" w:cs="Times New Roman"/>
          <w:color w:val="auto"/>
        </w:rPr>
        <w:t>用于</w:t>
      </w:r>
      <w:r>
        <w:rPr>
          <w:rStyle w:val="16"/>
          <w:rFonts w:hint="eastAsia" w:ascii="Times New Roman" w:hAnsi="Times New Roman" w:cs="Times New Roman"/>
          <w:color w:val="auto"/>
        </w:rPr>
        <w:t>包</w:t>
      </w:r>
      <w:r>
        <w:rPr>
          <w:rStyle w:val="16"/>
          <w:rFonts w:ascii="Times New Roman" w:hAnsi="Times New Roman" w:cs="Times New Roman"/>
          <w:color w:val="auto"/>
        </w:rPr>
        <w:t>装、贮存和装卸的容器、工具和设备应保持清洁</w:t>
      </w:r>
      <w:r>
        <w:rPr>
          <w:rStyle w:val="16"/>
          <w:rFonts w:hint="eastAsia" w:ascii="Times New Roman" w:hAnsi="Times New Roman" w:cs="Times New Roman"/>
          <w:color w:val="auto"/>
        </w:rPr>
        <w:t>，</w:t>
      </w:r>
      <w:r>
        <w:rPr>
          <w:rStyle w:val="16"/>
          <w:rFonts w:ascii="Times New Roman" w:hAnsi="Times New Roman" w:cs="Times New Roman"/>
          <w:color w:val="auto"/>
        </w:rPr>
        <w:t>不应对产品造成污染</w:t>
      </w:r>
      <w:r>
        <w:rPr>
          <w:rStyle w:val="16"/>
          <w:rFonts w:hint="eastAsia" w:ascii="Times New Roman" w:hAnsi="Times New Roman" w:cs="Times New Roman"/>
          <w:color w:val="auto"/>
        </w:rPr>
        <w:t>；</w:t>
      </w:r>
      <w:r>
        <w:rPr>
          <w:rStyle w:val="16"/>
          <w:rFonts w:ascii="Times New Roman" w:hAnsi="Times New Roman" w:cs="Times New Roman"/>
          <w:color w:val="auto"/>
        </w:rPr>
        <w:t>包装方式应能有效防止二次污染。</w:t>
      </w:r>
    </w:p>
    <w:p w14:paraId="470213E6">
      <w:pPr>
        <w:pStyle w:val="15"/>
        <w:tabs>
          <w:tab w:val="left" w:pos="621"/>
        </w:tabs>
        <w:spacing w:line="360" w:lineRule="auto"/>
        <w:ind w:firstLine="400" w:firstLineChars="200"/>
        <w:jc w:val="both"/>
        <w:rPr>
          <w:rStyle w:val="16"/>
          <w:rFonts w:ascii="Times New Roman" w:hAnsi="Times New Roman" w:cs="Times New Roman"/>
          <w:color w:val="auto"/>
        </w:rPr>
      </w:pPr>
      <w:r>
        <w:rPr>
          <w:rStyle w:val="16"/>
          <w:rFonts w:ascii="Times New Roman" w:hAnsi="Times New Roman" w:cs="Times New Roman"/>
          <w:color w:val="auto"/>
        </w:rPr>
        <w:t>应根据产品的物理特性和化学特性</w:t>
      </w:r>
      <w:r>
        <w:rPr>
          <w:rStyle w:val="16"/>
          <w:rFonts w:hint="eastAsia" w:ascii="Times New Roman" w:hAnsi="Times New Roman" w:cs="Times New Roman"/>
          <w:color w:val="auto"/>
        </w:rPr>
        <w:t>，</w:t>
      </w:r>
      <w:r>
        <w:rPr>
          <w:rStyle w:val="16"/>
          <w:rFonts w:ascii="Times New Roman" w:hAnsi="Times New Roman" w:cs="Times New Roman"/>
          <w:color w:val="auto"/>
        </w:rPr>
        <w:t>选择合适的贮存和运输条件</w:t>
      </w:r>
      <w:r>
        <w:rPr>
          <w:rStyle w:val="16"/>
          <w:rFonts w:hint="eastAsia" w:ascii="Times New Roman" w:hAnsi="Times New Roman" w:cs="Times New Roman"/>
          <w:color w:val="auto"/>
        </w:rPr>
        <w:t>，</w:t>
      </w:r>
      <w:r>
        <w:rPr>
          <w:rStyle w:val="16"/>
          <w:rFonts w:ascii="Times New Roman" w:hAnsi="Times New Roman" w:cs="Times New Roman"/>
          <w:color w:val="auto"/>
        </w:rPr>
        <w:t>并采取有效措施防止有毒有害物品的污染。在贮存和运输过程中应加强防护。防止成品出现损伤和污染应按照产品特点</w:t>
      </w:r>
      <w:r>
        <w:rPr>
          <w:rStyle w:val="16"/>
          <w:rFonts w:hint="eastAsia" w:ascii="Times New Roman" w:hAnsi="Times New Roman" w:cs="Times New Roman"/>
          <w:color w:val="auto"/>
        </w:rPr>
        <w:t>，</w:t>
      </w:r>
      <w:r>
        <w:rPr>
          <w:rStyle w:val="16"/>
          <w:rFonts w:ascii="Times New Roman" w:hAnsi="Times New Roman" w:cs="Times New Roman"/>
          <w:color w:val="auto"/>
        </w:rPr>
        <w:t>根据国家相关法律法规和标准的要求制定产品的保质期。</w:t>
      </w:r>
    </w:p>
    <w:p w14:paraId="520A9590">
      <w:pPr>
        <w:pStyle w:val="15"/>
        <w:tabs>
          <w:tab w:val="left" w:pos="621"/>
        </w:tabs>
        <w:spacing w:line="360" w:lineRule="auto"/>
        <w:ind w:firstLine="400" w:firstLineChars="200"/>
        <w:jc w:val="both"/>
        <w:rPr>
          <w:rStyle w:val="16"/>
          <w:rFonts w:ascii="Times New Roman" w:hAnsi="Times New Roman" w:cs="Times New Roman"/>
          <w:color w:val="auto"/>
        </w:rPr>
      </w:pPr>
      <w:r>
        <w:rPr>
          <w:rStyle w:val="16"/>
          <w:rFonts w:ascii="Times New Roman" w:hAnsi="Times New Roman" w:cs="Times New Roman"/>
          <w:color w:val="auto"/>
        </w:rPr>
        <w:t>成品应标明检验状态，不合格品应单独存放，并明显标识。</w:t>
      </w:r>
    </w:p>
    <w:p w14:paraId="529C6183">
      <w:pPr>
        <w:pStyle w:val="15"/>
        <w:tabs>
          <w:tab w:val="left" w:pos="621"/>
        </w:tabs>
        <w:spacing w:line="360" w:lineRule="auto"/>
        <w:ind w:firstLine="400" w:firstLineChars="200"/>
        <w:jc w:val="both"/>
        <w:rPr>
          <w:rStyle w:val="16"/>
          <w:rFonts w:ascii="Times New Roman" w:hAnsi="Times New Roman" w:cs="Times New Roman"/>
          <w:color w:val="auto"/>
        </w:rPr>
      </w:pPr>
      <w:r>
        <w:rPr>
          <w:rStyle w:val="16"/>
          <w:rFonts w:ascii="Times New Roman" w:hAnsi="Times New Roman" w:cs="Times New Roman"/>
          <w:color w:val="auto"/>
        </w:rPr>
        <w:t>仓库中贮存的产品应定期检查</w:t>
      </w:r>
      <w:r>
        <w:rPr>
          <w:rStyle w:val="16"/>
          <w:rFonts w:hint="eastAsia" w:ascii="Times New Roman" w:hAnsi="Times New Roman" w:cs="Times New Roman"/>
          <w:color w:val="auto"/>
        </w:rPr>
        <w:t>，</w:t>
      </w:r>
      <w:r>
        <w:rPr>
          <w:rStyle w:val="16"/>
          <w:rFonts w:ascii="Times New Roman" w:hAnsi="Times New Roman" w:cs="Times New Roman"/>
          <w:color w:val="auto"/>
        </w:rPr>
        <w:t>必要时应有温湿度记录</w:t>
      </w:r>
      <w:r>
        <w:rPr>
          <w:rStyle w:val="16"/>
          <w:rFonts w:hint="eastAsia" w:ascii="Times New Roman" w:hAnsi="Times New Roman" w:cs="Times New Roman"/>
          <w:color w:val="auto"/>
        </w:rPr>
        <w:t>，</w:t>
      </w:r>
      <w:r>
        <w:rPr>
          <w:rStyle w:val="16"/>
          <w:rFonts w:ascii="Times New Roman" w:hAnsi="Times New Roman" w:cs="Times New Roman"/>
          <w:color w:val="auto"/>
        </w:rPr>
        <w:t>如有异常应及时处理，运输工具(如车辆、集装箱等)应清洁、干燥，且有防雨措施</w:t>
      </w:r>
      <w:r>
        <w:rPr>
          <w:rStyle w:val="16"/>
          <w:rFonts w:hint="eastAsia" w:ascii="Times New Roman" w:hAnsi="Times New Roman" w:cs="Times New Roman"/>
          <w:color w:val="auto"/>
        </w:rPr>
        <w:t>。</w:t>
      </w:r>
    </w:p>
    <w:p w14:paraId="360DB844">
      <w:pPr>
        <w:pStyle w:val="2"/>
        <w:numPr>
          <w:ilvl w:val="0"/>
          <w:numId w:val="1"/>
        </w:numPr>
        <w:spacing w:before="120" w:beforeLines="50" w:after="120" w:afterLines="50" w:line="360" w:lineRule="auto"/>
        <w:ind w:left="0" w:firstLine="0"/>
        <w:rPr>
          <w:rStyle w:val="14"/>
          <w:rFonts w:ascii="Times New Roman" w:hAnsi="Times New Roman" w:cs="Times New Roman"/>
          <w:b w:val="0"/>
          <w:bCs w:val="0"/>
          <w:color w:val="auto"/>
        </w:rPr>
      </w:pPr>
      <w:bookmarkStart w:id="46" w:name="_Toc846"/>
      <w:r>
        <w:rPr>
          <w:rStyle w:val="14"/>
          <w:rFonts w:ascii="Times New Roman" w:hAnsi="Times New Roman" w:cs="Times New Roman"/>
          <w:b w:val="0"/>
          <w:bCs w:val="0"/>
          <w:color w:val="auto"/>
        </w:rPr>
        <w:t>检验</w:t>
      </w:r>
      <w:bookmarkEnd w:id="46"/>
    </w:p>
    <w:p w14:paraId="1E4C1288">
      <w:pPr>
        <w:pStyle w:val="35"/>
        <w:numPr>
          <w:ilvl w:val="0"/>
          <w:numId w:val="2"/>
        </w:numPr>
        <w:tabs>
          <w:tab w:val="left" w:pos="739"/>
        </w:tabs>
        <w:spacing w:line="360" w:lineRule="auto"/>
        <w:ind w:firstLineChars="0"/>
        <w:rPr>
          <w:rStyle w:val="16"/>
          <w:rFonts w:ascii="Times New Roman" w:hAnsi="Times New Roman" w:cs="Times New Roman"/>
          <w:vanish/>
          <w:color w:val="auto"/>
          <w:lang w:val="en-US"/>
        </w:rPr>
      </w:pPr>
    </w:p>
    <w:p w14:paraId="082C0133">
      <w:pPr>
        <w:pStyle w:val="15"/>
        <w:numPr>
          <w:ilvl w:val="1"/>
          <w:numId w:val="2"/>
        </w:numPr>
        <w:tabs>
          <w:tab w:val="left" w:pos="739"/>
        </w:tabs>
        <w:spacing w:line="360" w:lineRule="auto"/>
        <w:ind w:left="0" w:firstLine="400" w:firstLineChars="200"/>
        <w:jc w:val="both"/>
        <w:rPr>
          <w:rStyle w:val="16"/>
          <w:rFonts w:ascii="Times New Roman" w:hAnsi="Times New Roman" w:cs="Times New Roman"/>
          <w:color w:val="auto"/>
          <w:lang w:val="en-US"/>
        </w:rPr>
      </w:pPr>
      <w:r>
        <w:rPr>
          <w:rStyle w:val="16"/>
          <w:rFonts w:ascii="Times New Roman" w:hAnsi="Times New Roman" w:cs="Times New Roman"/>
          <w:color w:val="auto"/>
          <w:lang w:val="en-US"/>
        </w:rPr>
        <w:t>应建立检验管理制度，应符合产品执行标准、GB</w:t>
      </w:r>
      <w:r>
        <w:rPr>
          <w:rStyle w:val="16"/>
          <w:rFonts w:hint="eastAsia" w:ascii="Times New Roman" w:hAnsi="Times New Roman" w:cs="Times New Roman"/>
          <w:color w:val="auto"/>
          <w:lang w:val="en-US"/>
        </w:rPr>
        <w:t xml:space="preserve"> </w:t>
      </w:r>
      <w:r>
        <w:rPr>
          <w:rStyle w:val="16"/>
          <w:rFonts w:ascii="Times New Roman" w:hAnsi="Times New Roman" w:cs="Times New Roman"/>
          <w:color w:val="auto"/>
          <w:lang w:val="en-US"/>
        </w:rPr>
        <w:t>31603和审查细则对检验的相关规定。</w:t>
      </w:r>
    </w:p>
    <w:p w14:paraId="4E27896E">
      <w:pPr>
        <w:pStyle w:val="15"/>
        <w:numPr>
          <w:ilvl w:val="1"/>
          <w:numId w:val="2"/>
        </w:numPr>
        <w:tabs>
          <w:tab w:val="left" w:pos="739"/>
        </w:tabs>
        <w:spacing w:line="360" w:lineRule="auto"/>
        <w:ind w:left="0" w:firstLine="400" w:firstLineChars="200"/>
        <w:jc w:val="both"/>
        <w:rPr>
          <w:rStyle w:val="16"/>
          <w:rFonts w:ascii="Times New Roman" w:hAnsi="Times New Roman" w:cs="Times New Roman"/>
          <w:color w:val="auto"/>
          <w:lang w:val="en-US"/>
        </w:rPr>
      </w:pPr>
      <w:r>
        <w:rPr>
          <w:rStyle w:val="16"/>
          <w:rFonts w:ascii="Times New Roman" w:hAnsi="Times New Roman" w:cs="Times New Roman"/>
          <w:color w:val="auto"/>
          <w:lang w:val="en-US"/>
        </w:rPr>
        <w:t>检验室的人员、设施、设备应当与产品性质和生产规模相适应，并制定检验室文件。</w:t>
      </w:r>
    </w:p>
    <w:p w14:paraId="2E351118">
      <w:pPr>
        <w:pStyle w:val="15"/>
        <w:numPr>
          <w:ilvl w:val="1"/>
          <w:numId w:val="2"/>
        </w:numPr>
        <w:tabs>
          <w:tab w:val="left" w:pos="739"/>
        </w:tabs>
        <w:spacing w:line="360" w:lineRule="auto"/>
        <w:ind w:left="0" w:firstLine="400" w:firstLineChars="200"/>
        <w:jc w:val="both"/>
        <w:rPr>
          <w:rStyle w:val="16"/>
          <w:rFonts w:ascii="Times New Roman" w:hAnsi="Times New Roman" w:cs="Times New Roman"/>
          <w:color w:val="auto"/>
          <w:lang w:val="en-US"/>
        </w:rPr>
      </w:pPr>
      <w:r>
        <w:rPr>
          <w:rStyle w:val="16"/>
          <w:rFonts w:ascii="Times New Roman" w:hAnsi="Times New Roman" w:cs="Times New Roman"/>
          <w:color w:val="auto"/>
          <w:lang w:val="en-US"/>
        </w:rPr>
        <w:t>企业对物料、中间产品、产品进行检验或委托检验，应建立保存检验记录或检验报告，并按规定及产品特性进行留样。</w:t>
      </w:r>
    </w:p>
    <w:p w14:paraId="5BF6D538">
      <w:pPr>
        <w:pStyle w:val="15"/>
        <w:numPr>
          <w:ilvl w:val="1"/>
          <w:numId w:val="2"/>
        </w:numPr>
        <w:tabs>
          <w:tab w:val="left" w:pos="739"/>
        </w:tabs>
        <w:spacing w:line="360" w:lineRule="auto"/>
        <w:ind w:left="0" w:firstLine="400" w:firstLineChars="200"/>
        <w:jc w:val="both"/>
        <w:rPr>
          <w:rStyle w:val="16"/>
          <w:rFonts w:ascii="Times New Roman" w:hAnsi="Times New Roman" w:cs="Times New Roman"/>
          <w:color w:val="auto"/>
          <w:lang w:val="en-US"/>
        </w:rPr>
      </w:pPr>
      <w:r>
        <w:rPr>
          <w:rStyle w:val="16"/>
          <w:rFonts w:ascii="Times New Roman" w:hAnsi="Times New Roman" w:cs="Times New Roman"/>
          <w:color w:val="auto"/>
          <w:lang w:val="en-US"/>
        </w:rPr>
        <w:t>检验室文件、检验记录、留样要求应符合附录C。</w:t>
      </w:r>
    </w:p>
    <w:p w14:paraId="229BF6A9">
      <w:pPr>
        <w:pStyle w:val="2"/>
        <w:numPr>
          <w:ilvl w:val="0"/>
          <w:numId w:val="1"/>
        </w:numPr>
        <w:spacing w:before="120" w:beforeLines="50" w:after="120" w:afterLines="50" w:line="360" w:lineRule="auto"/>
        <w:ind w:left="0" w:firstLine="0"/>
        <w:rPr>
          <w:rStyle w:val="14"/>
          <w:rFonts w:ascii="Times New Roman" w:hAnsi="Times New Roman" w:cs="Times New Roman"/>
          <w:b w:val="0"/>
          <w:bCs w:val="0"/>
          <w:color w:val="auto"/>
        </w:rPr>
      </w:pPr>
      <w:bookmarkStart w:id="47" w:name="_Toc7779"/>
      <w:r>
        <w:rPr>
          <w:rStyle w:val="14"/>
          <w:rFonts w:ascii="Times New Roman" w:hAnsi="Times New Roman" w:cs="Times New Roman"/>
          <w:b w:val="0"/>
          <w:bCs w:val="0"/>
          <w:color w:val="auto"/>
        </w:rPr>
        <w:t>追溯召回与投诉</w:t>
      </w:r>
      <w:bookmarkEnd w:id="47"/>
    </w:p>
    <w:p w14:paraId="5F746B9A">
      <w:pPr>
        <w:pStyle w:val="35"/>
        <w:numPr>
          <w:ilvl w:val="0"/>
          <w:numId w:val="2"/>
        </w:numPr>
        <w:tabs>
          <w:tab w:val="left" w:pos="739"/>
        </w:tabs>
        <w:spacing w:line="360" w:lineRule="auto"/>
        <w:ind w:firstLineChars="0"/>
        <w:rPr>
          <w:rStyle w:val="16"/>
          <w:rFonts w:ascii="Times New Roman" w:hAnsi="Times New Roman" w:cs="Times New Roman"/>
          <w:vanish/>
          <w:color w:val="auto"/>
          <w:lang w:val="en-US"/>
        </w:rPr>
      </w:pPr>
    </w:p>
    <w:p w14:paraId="30E10353">
      <w:pPr>
        <w:pStyle w:val="15"/>
        <w:numPr>
          <w:ilvl w:val="1"/>
          <w:numId w:val="2"/>
        </w:numPr>
        <w:tabs>
          <w:tab w:val="left" w:pos="739"/>
        </w:tabs>
        <w:spacing w:line="360" w:lineRule="auto"/>
        <w:ind w:left="0" w:firstLine="400" w:firstLineChars="200"/>
        <w:jc w:val="both"/>
        <w:rPr>
          <w:rStyle w:val="16"/>
          <w:rFonts w:ascii="Times New Roman" w:hAnsi="Times New Roman" w:cs="Times New Roman"/>
          <w:color w:val="auto"/>
          <w:lang w:val="en-US"/>
        </w:rPr>
      </w:pPr>
      <w:r>
        <w:rPr>
          <w:rStyle w:val="16"/>
          <w:rFonts w:hint="eastAsia" w:ascii="Times New Roman" w:hAnsi="Times New Roman" w:cs="Times New Roman"/>
          <w:color w:val="auto"/>
          <w:lang w:val="en-US"/>
        </w:rPr>
        <w:t>食品相关产品企业</w:t>
      </w:r>
      <w:r>
        <w:rPr>
          <w:rStyle w:val="16"/>
          <w:rFonts w:ascii="Times New Roman" w:hAnsi="Times New Roman" w:cs="Times New Roman"/>
          <w:color w:val="auto"/>
          <w:lang w:val="en-US"/>
        </w:rPr>
        <w:t>应建立产品召回制度。当发现某一批次或类别的产品含有或可能含有对消费者健康造成危害的因素时</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应按照国家相关规定启动产品召回程序</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及时向相关部门通告</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并作好相关记录。并对被召回的产品应进行相应处置。</w:t>
      </w:r>
    </w:p>
    <w:p w14:paraId="28FD503F">
      <w:pPr>
        <w:pStyle w:val="15"/>
        <w:numPr>
          <w:ilvl w:val="1"/>
          <w:numId w:val="2"/>
        </w:numPr>
        <w:tabs>
          <w:tab w:val="left" w:pos="739"/>
        </w:tabs>
        <w:spacing w:line="360" w:lineRule="auto"/>
        <w:ind w:left="0" w:firstLine="400" w:firstLineChars="200"/>
        <w:jc w:val="both"/>
        <w:rPr>
          <w:rStyle w:val="16"/>
          <w:rFonts w:ascii="Times New Roman" w:hAnsi="Times New Roman" w:cs="Times New Roman"/>
          <w:color w:val="auto"/>
          <w:lang w:val="en-US"/>
        </w:rPr>
      </w:pPr>
      <w:r>
        <w:rPr>
          <w:rStyle w:val="16"/>
          <w:rFonts w:ascii="Times New Roman" w:hAnsi="Times New Roman" w:cs="Times New Roman"/>
          <w:color w:val="auto"/>
          <w:lang w:val="en-US"/>
        </w:rPr>
        <w:t xml:space="preserve"> 应建立产品追溯制度</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保证产品从原辅料采购到产品销售的所有环节都可进行有效追溯</w:t>
      </w:r>
      <w:r>
        <w:rPr>
          <w:rStyle w:val="16"/>
          <w:rFonts w:hint="eastAsia" w:ascii="Times New Roman" w:hAnsi="Times New Roman" w:cs="Times New Roman"/>
          <w:color w:val="auto"/>
          <w:lang w:val="en-US"/>
        </w:rPr>
        <w:t>。鼓励食品相关产品生产者、销售者采用信息化手段采集、留存生产和销售信息，建立食品相关产品质量安全追溯体系。</w:t>
      </w:r>
    </w:p>
    <w:p w14:paraId="303B3D1E">
      <w:pPr>
        <w:pStyle w:val="15"/>
        <w:numPr>
          <w:ilvl w:val="1"/>
          <w:numId w:val="2"/>
        </w:numPr>
        <w:tabs>
          <w:tab w:val="left" w:pos="739"/>
        </w:tabs>
        <w:spacing w:line="360" w:lineRule="auto"/>
        <w:ind w:left="0" w:firstLine="400" w:firstLineChars="200"/>
        <w:jc w:val="both"/>
        <w:rPr>
          <w:rStyle w:val="16"/>
          <w:rFonts w:ascii="Times New Roman" w:hAnsi="Times New Roman" w:cs="Times New Roman"/>
          <w:color w:val="auto"/>
          <w:lang w:val="en-US"/>
        </w:rPr>
      </w:pPr>
      <w:r>
        <w:rPr>
          <w:rStyle w:val="16"/>
          <w:rFonts w:ascii="Times New Roman" w:hAnsi="Times New Roman" w:cs="Times New Roman"/>
          <w:color w:val="auto"/>
          <w:lang w:val="en-US"/>
        </w:rPr>
        <w:t>应建立客户投诉处理机制。对客户提出的书面或口头意见、投诉</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企业相关管理部门应统一作记录并查找原因</w:t>
      </w:r>
      <w:r>
        <w:rPr>
          <w:rStyle w:val="16"/>
          <w:rFonts w:hint="eastAsia" w:ascii="Times New Roman" w:hAnsi="Times New Roman" w:cs="Times New Roman"/>
          <w:color w:val="auto"/>
          <w:lang w:val="en-US"/>
        </w:rPr>
        <w:t>，</w:t>
      </w:r>
      <w:r>
        <w:rPr>
          <w:rStyle w:val="16"/>
          <w:rFonts w:ascii="Times New Roman" w:hAnsi="Times New Roman" w:cs="Times New Roman"/>
          <w:color w:val="auto"/>
          <w:lang w:val="en-US"/>
        </w:rPr>
        <w:t>妥善处理。投诉调查和处理应有记录，并注明所查相关批次产品的信息。</w:t>
      </w:r>
    </w:p>
    <w:p w14:paraId="1225ACD3">
      <w:pPr>
        <w:pStyle w:val="2"/>
        <w:numPr>
          <w:ilvl w:val="0"/>
          <w:numId w:val="1"/>
        </w:numPr>
        <w:spacing w:before="120" w:beforeLines="50" w:after="120" w:afterLines="50" w:line="360" w:lineRule="auto"/>
        <w:ind w:left="0" w:firstLine="0"/>
        <w:rPr>
          <w:rStyle w:val="14"/>
          <w:rFonts w:ascii="Times New Roman" w:hAnsi="Times New Roman" w:cs="Times New Roman"/>
          <w:b w:val="0"/>
          <w:bCs w:val="0"/>
          <w:color w:val="auto"/>
        </w:rPr>
      </w:pPr>
      <w:bookmarkStart w:id="48" w:name="_Toc32743"/>
      <w:r>
        <w:rPr>
          <w:rStyle w:val="14"/>
          <w:rFonts w:ascii="Times New Roman" w:hAnsi="Times New Roman" w:cs="Times New Roman"/>
          <w:b w:val="0"/>
          <w:bCs w:val="0"/>
          <w:color w:val="auto"/>
        </w:rPr>
        <w:t>不合格产品管理</w:t>
      </w:r>
      <w:bookmarkEnd w:id="48"/>
    </w:p>
    <w:p w14:paraId="44202F65">
      <w:pPr>
        <w:pStyle w:val="35"/>
        <w:numPr>
          <w:ilvl w:val="0"/>
          <w:numId w:val="2"/>
        </w:numPr>
        <w:tabs>
          <w:tab w:val="left" w:pos="739"/>
        </w:tabs>
        <w:spacing w:line="360" w:lineRule="auto"/>
        <w:ind w:firstLineChars="0"/>
        <w:rPr>
          <w:rStyle w:val="16"/>
          <w:rFonts w:ascii="Times New Roman" w:hAnsi="Times New Roman" w:cs="Times New Roman"/>
          <w:vanish/>
          <w:color w:val="auto"/>
          <w:lang w:val="en-US"/>
        </w:rPr>
      </w:pPr>
    </w:p>
    <w:p w14:paraId="2A1049DF">
      <w:pPr>
        <w:pStyle w:val="15"/>
        <w:numPr>
          <w:ilvl w:val="1"/>
          <w:numId w:val="2"/>
        </w:numPr>
        <w:tabs>
          <w:tab w:val="left" w:pos="739"/>
        </w:tabs>
        <w:spacing w:line="360" w:lineRule="auto"/>
        <w:ind w:left="0" w:firstLine="400" w:firstLineChars="200"/>
        <w:jc w:val="both"/>
        <w:rPr>
          <w:rStyle w:val="16"/>
          <w:rFonts w:ascii="Times New Roman" w:hAnsi="Times New Roman" w:cs="Times New Roman"/>
          <w:color w:val="auto"/>
          <w:lang w:val="en-US"/>
        </w:rPr>
      </w:pPr>
      <w:r>
        <w:rPr>
          <w:rStyle w:val="16"/>
          <w:rFonts w:ascii="Times New Roman" w:hAnsi="Times New Roman" w:cs="Times New Roman"/>
          <w:color w:val="auto"/>
          <w:lang w:val="en-US"/>
        </w:rPr>
        <w:t>应建立不合格产品管理制度，设立专门机构并配备专人负责。</w:t>
      </w:r>
    </w:p>
    <w:p w14:paraId="011F6203">
      <w:pPr>
        <w:pStyle w:val="15"/>
        <w:numPr>
          <w:ilvl w:val="1"/>
          <w:numId w:val="2"/>
        </w:numPr>
        <w:tabs>
          <w:tab w:val="left" w:pos="739"/>
        </w:tabs>
        <w:spacing w:line="360" w:lineRule="auto"/>
        <w:ind w:left="0" w:firstLine="400" w:firstLineChars="200"/>
        <w:jc w:val="both"/>
        <w:rPr>
          <w:rStyle w:val="16"/>
          <w:rFonts w:ascii="Times New Roman" w:hAnsi="Times New Roman" w:cs="Times New Roman"/>
          <w:color w:val="auto"/>
          <w:lang w:val="en-US"/>
        </w:rPr>
      </w:pPr>
      <w:r>
        <w:rPr>
          <w:rStyle w:val="16"/>
          <w:rFonts w:ascii="Times New Roman" w:hAnsi="Times New Roman" w:cs="Times New Roman"/>
          <w:color w:val="auto"/>
          <w:lang w:val="en-US"/>
        </w:rPr>
        <w:t>对不合格产品应详细记录、调查分析和处理，及时采取措施控制可能存在的风险。</w:t>
      </w:r>
    </w:p>
    <w:p w14:paraId="42762FBA">
      <w:pPr>
        <w:pStyle w:val="15"/>
        <w:numPr>
          <w:ilvl w:val="1"/>
          <w:numId w:val="2"/>
        </w:numPr>
        <w:tabs>
          <w:tab w:val="left" w:pos="739"/>
        </w:tabs>
        <w:spacing w:line="360" w:lineRule="auto"/>
        <w:ind w:left="0" w:firstLine="400" w:firstLineChars="200"/>
        <w:jc w:val="both"/>
        <w:rPr>
          <w:rStyle w:val="16"/>
          <w:rFonts w:ascii="Times New Roman" w:hAnsi="Times New Roman" w:cs="Times New Roman"/>
          <w:color w:val="auto"/>
          <w:lang w:val="en-US"/>
        </w:rPr>
      </w:pPr>
      <w:r>
        <w:rPr>
          <w:rStyle w:val="16"/>
          <w:rFonts w:ascii="Times New Roman" w:hAnsi="Times New Roman" w:cs="Times New Roman"/>
          <w:color w:val="auto"/>
          <w:lang w:val="en-US"/>
        </w:rPr>
        <w:t>发现或怀疑某批食品相关产品存在缺陷，应考虑检查其他批次的食品相关产品，查明其是否受到影响。</w:t>
      </w:r>
    </w:p>
    <w:p w14:paraId="1D314AA6">
      <w:pPr>
        <w:pStyle w:val="15"/>
        <w:numPr>
          <w:ilvl w:val="1"/>
          <w:numId w:val="2"/>
        </w:numPr>
        <w:tabs>
          <w:tab w:val="left" w:pos="739"/>
        </w:tabs>
        <w:spacing w:line="360" w:lineRule="auto"/>
        <w:ind w:left="0" w:firstLine="400" w:firstLineChars="200"/>
        <w:jc w:val="both"/>
        <w:rPr>
          <w:rStyle w:val="16"/>
          <w:rFonts w:ascii="Times New Roman" w:hAnsi="Times New Roman" w:cs="Times New Roman"/>
          <w:color w:val="auto"/>
          <w:lang w:val="en-US"/>
        </w:rPr>
      </w:pPr>
      <w:r>
        <w:rPr>
          <w:rStyle w:val="16"/>
          <w:rFonts w:ascii="Times New Roman" w:hAnsi="Times New Roman" w:cs="Times New Roman"/>
          <w:color w:val="auto"/>
          <w:lang w:val="en-US"/>
        </w:rPr>
        <w:t>当产品因突发性影响健康的危害被召回时，应评估同样条件下生产的其他产品的安全性。应考虑发出公共预警的需求。</w:t>
      </w:r>
    </w:p>
    <w:p w14:paraId="7D8312B3">
      <w:pPr>
        <w:pStyle w:val="15"/>
        <w:numPr>
          <w:ilvl w:val="1"/>
          <w:numId w:val="2"/>
        </w:numPr>
        <w:tabs>
          <w:tab w:val="left" w:pos="739"/>
        </w:tabs>
        <w:spacing w:line="360" w:lineRule="auto"/>
        <w:ind w:left="0" w:firstLine="400" w:firstLineChars="200"/>
        <w:jc w:val="both"/>
        <w:rPr>
          <w:rStyle w:val="16"/>
          <w:rFonts w:ascii="Times New Roman" w:hAnsi="Times New Roman" w:cs="Times New Roman"/>
          <w:color w:val="auto"/>
          <w:lang w:val="en-US"/>
        </w:rPr>
      </w:pPr>
      <w:r>
        <w:rPr>
          <w:rStyle w:val="16"/>
          <w:rFonts w:ascii="Times New Roman" w:hAnsi="Times New Roman" w:cs="Times New Roman"/>
          <w:color w:val="auto"/>
          <w:lang w:val="en-US"/>
        </w:rPr>
        <w:t>应确保不符合企业执行标准的产品在全产业链的所有必要环节得到识别、定位并消除。</w:t>
      </w:r>
    </w:p>
    <w:p w14:paraId="089189E5">
      <w:pPr>
        <w:pStyle w:val="2"/>
        <w:numPr>
          <w:ilvl w:val="0"/>
          <w:numId w:val="1"/>
        </w:numPr>
        <w:spacing w:before="120" w:beforeLines="50" w:after="120" w:afterLines="50" w:line="360" w:lineRule="auto"/>
        <w:ind w:left="0" w:firstLine="0"/>
        <w:rPr>
          <w:rStyle w:val="14"/>
          <w:rFonts w:ascii="Times New Roman" w:hAnsi="Times New Roman" w:cs="Times New Roman"/>
          <w:b w:val="0"/>
          <w:bCs w:val="0"/>
          <w:color w:val="auto"/>
        </w:rPr>
      </w:pPr>
      <w:bookmarkStart w:id="49" w:name="_Toc6529"/>
      <w:r>
        <w:rPr>
          <w:rStyle w:val="14"/>
          <w:rFonts w:ascii="Times New Roman" w:hAnsi="Times New Roman" w:cs="Times New Roman"/>
          <w:b w:val="0"/>
          <w:bCs w:val="0"/>
          <w:color w:val="auto"/>
        </w:rPr>
        <w:t>文件和记录管理</w:t>
      </w:r>
      <w:bookmarkEnd w:id="49"/>
    </w:p>
    <w:p w14:paraId="44B6D5AF">
      <w:pPr>
        <w:pStyle w:val="35"/>
        <w:keepNext/>
        <w:keepLines/>
        <w:numPr>
          <w:ilvl w:val="0"/>
          <w:numId w:val="2"/>
        </w:numPr>
        <w:spacing w:after="140" w:line="360" w:lineRule="auto"/>
        <w:ind w:firstLineChars="0"/>
        <w:outlineLvl w:val="1"/>
        <w:rPr>
          <w:rStyle w:val="14"/>
          <w:rFonts w:ascii="Times New Roman" w:hAnsi="Times New Roman" w:cs="Times New Roman"/>
          <w:vanish/>
          <w:color w:val="auto"/>
        </w:rPr>
      </w:pPr>
      <w:bookmarkStart w:id="50" w:name="_Toc134611755"/>
      <w:bookmarkEnd w:id="50"/>
    </w:p>
    <w:p w14:paraId="275AEBAE">
      <w:pPr>
        <w:pStyle w:val="3"/>
        <w:numPr>
          <w:ilvl w:val="1"/>
          <w:numId w:val="2"/>
        </w:numPr>
        <w:spacing w:before="120" w:beforeLines="50" w:after="120" w:afterLines="50" w:line="360" w:lineRule="auto"/>
        <w:ind w:left="0" w:firstLine="400" w:firstLineChars="200"/>
        <w:rPr>
          <w:rStyle w:val="14"/>
          <w:rFonts w:ascii="Times New Roman" w:hAnsi="Times New Roman" w:cs="Times New Roman"/>
          <w:b w:val="0"/>
          <w:bCs w:val="0"/>
          <w:color w:val="auto"/>
        </w:rPr>
      </w:pPr>
      <w:r>
        <w:rPr>
          <w:rStyle w:val="14"/>
          <w:rFonts w:ascii="Times New Roman" w:hAnsi="Times New Roman" w:cs="Times New Roman"/>
          <w:b w:val="0"/>
          <w:bCs w:val="0"/>
          <w:color w:val="auto"/>
        </w:rPr>
        <w:t>文件管理</w:t>
      </w:r>
    </w:p>
    <w:p w14:paraId="21D582CC">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企业应有内容正确的食品相关产品安全标准、质量标准、工艺文件、操作规程以及记录等有效文件。</w:t>
      </w:r>
    </w:p>
    <w:p w14:paraId="79EB31D5">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企业应建立文件管理的操作规程，系统地设计、制定、审核、批准和发放文件，签发应注明日期。</w:t>
      </w:r>
    </w:p>
    <w:p w14:paraId="733A71A7">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文件的起草、修订、审核、批准、替换或撤销、复制、保管和销毁等应按照操作规程管理，并有相应的文件分发、撤销、复制、销毁记录。</w:t>
      </w:r>
    </w:p>
    <w:p w14:paraId="369C5833">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原版文件复制时，不应产生任何差错；复制的文件应清晰可辨。</w:t>
      </w:r>
    </w:p>
    <w:p w14:paraId="4D4A803C">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每种食品相关产品均应有经批准的工艺文件。</w:t>
      </w:r>
    </w:p>
    <w:p w14:paraId="6F062FA1">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工艺文件不应任意更改，如需更改，应按照相关的操作规程修订、审核、批准。</w:t>
      </w:r>
    </w:p>
    <w:p w14:paraId="6F29A9E7">
      <w:pPr>
        <w:pStyle w:val="3"/>
        <w:numPr>
          <w:ilvl w:val="1"/>
          <w:numId w:val="2"/>
        </w:numPr>
        <w:spacing w:before="120" w:beforeLines="50" w:after="120" w:afterLines="50" w:line="360" w:lineRule="auto"/>
        <w:ind w:left="0" w:firstLine="400" w:firstLineChars="200"/>
        <w:rPr>
          <w:rStyle w:val="14"/>
          <w:rFonts w:ascii="Times New Roman" w:hAnsi="Times New Roman" w:cs="Times New Roman"/>
          <w:b w:val="0"/>
          <w:bCs w:val="0"/>
          <w:color w:val="auto"/>
        </w:rPr>
      </w:pPr>
      <w:r>
        <w:rPr>
          <w:rStyle w:val="14"/>
          <w:rFonts w:ascii="Times New Roman" w:hAnsi="Times New Roman" w:cs="Times New Roman"/>
          <w:b w:val="0"/>
          <w:bCs w:val="0"/>
          <w:color w:val="auto"/>
        </w:rPr>
        <w:t>记录管理</w:t>
      </w:r>
    </w:p>
    <w:p w14:paraId="6DE6008E">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记录应保持清洁，不应撕毁和任意涂改。记录填写的任何更改都应签注姓名和日期，并使原有 信息仍清晰可辨，必要时，应说明更改的理由。记录如需重新誊写，则原有记录不应销毁，应作为重新 誊写记录的附件保存。</w:t>
      </w:r>
    </w:p>
    <w:p w14:paraId="6627A28E">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pPr>
      <w:r>
        <w:rPr>
          <w:rStyle w:val="16"/>
          <w:rFonts w:ascii="Times New Roman" w:hAnsi="Times New Roman" w:cs="Times New Roman"/>
          <w:color w:val="auto"/>
          <w:lang w:val="en-US"/>
        </w:rPr>
        <w:t>使用电子数据处理系统的，只有经授权的人员方可输入或更改数据，更改和删除情况应有记录； 应使用密码或其他方式来控制系统的登录；关键数据输入后，应由他人独立进行复核。</w:t>
      </w:r>
    </w:p>
    <w:p w14:paraId="7E5810D6">
      <w:pPr>
        <w:pStyle w:val="15"/>
        <w:numPr>
          <w:ilvl w:val="2"/>
          <w:numId w:val="2"/>
        </w:numPr>
        <w:tabs>
          <w:tab w:val="left" w:pos="739"/>
        </w:tabs>
        <w:spacing w:line="360" w:lineRule="auto"/>
        <w:ind w:left="0" w:firstLine="400" w:firstLineChars="200"/>
        <w:rPr>
          <w:rStyle w:val="16"/>
          <w:rFonts w:ascii="Times New Roman" w:hAnsi="Times New Roman" w:cs="Times New Roman"/>
          <w:color w:val="auto"/>
          <w:lang w:val="en-US"/>
        </w:rPr>
        <w:sectPr>
          <w:footerReference r:id="rId14" w:type="first"/>
          <w:headerReference r:id="rId10" w:type="default"/>
          <w:footerReference r:id="rId12" w:type="default"/>
          <w:headerReference r:id="rId11" w:type="even"/>
          <w:footerReference r:id="rId13" w:type="even"/>
          <w:pgSz w:w="11909" w:h="16838"/>
          <w:pgMar w:top="1440" w:right="1800" w:bottom="1440" w:left="1800" w:header="1134" w:footer="1134" w:gutter="0"/>
          <w:pgNumType w:fmt="decimal" w:start="1"/>
          <w:cols w:space="720" w:num="1"/>
          <w:titlePg/>
          <w:docGrid w:linePitch="360" w:charSpace="0"/>
        </w:sectPr>
      </w:pPr>
      <w:r>
        <w:rPr>
          <w:rStyle w:val="16"/>
          <w:rFonts w:ascii="Times New Roman" w:hAnsi="Times New Roman" w:cs="Times New Roman"/>
          <w:color w:val="auto"/>
          <w:lang w:val="en-US"/>
        </w:rPr>
        <w:t>用电子方法保存的记录，应进行安全备份，数据资料在保存期内便于查阅。</w:t>
      </w:r>
    </w:p>
    <w:p w14:paraId="54F8461E">
      <w:pPr>
        <w:pStyle w:val="2"/>
        <w:spacing w:before="120" w:beforeLines="50" w:after="120" w:afterLines="50" w:line="360" w:lineRule="auto"/>
        <w:jc w:val="center"/>
        <w:rPr>
          <w:rStyle w:val="14"/>
          <w:rFonts w:ascii="Times New Roman" w:hAnsi="Times New Roman" w:cs="Times New Roman"/>
          <w:b w:val="0"/>
          <w:bCs w:val="0"/>
          <w:color w:val="auto"/>
        </w:rPr>
      </w:pPr>
      <w:bookmarkStart w:id="51" w:name="_Toc20206"/>
      <w:r>
        <w:rPr>
          <w:rStyle w:val="14"/>
          <w:rFonts w:ascii="Times New Roman" w:hAnsi="Times New Roman" w:cs="Times New Roman"/>
          <w:b w:val="0"/>
          <w:bCs w:val="0"/>
          <w:color w:val="auto"/>
        </w:rPr>
        <w:t>附 录 A</w:t>
      </w:r>
      <w:bookmarkEnd w:id="51"/>
    </w:p>
    <w:p w14:paraId="78D2C177">
      <w:pPr>
        <w:pStyle w:val="13"/>
        <w:spacing w:after="80" w:line="360" w:lineRule="auto"/>
        <w:jc w:val="center"/>
        <w:rPr>
          <w:rFonts w:ascii="Times New Roman" w:hAnsi="Times New Roman" w:cs="Times New Roman"/>
          <w:color w:val="auto"/>
        </w:rPr>
      </w:pPr>
      <w:r>
        <w:rPr>
          <w:rStyle w:val="14"/>
          <w:rFonts w:ascii="Times New Roman" w:hAnsi="Times New Roman" w:cs="Times New Roman"/>
          <w:color w:val="auto"/>
        </w:rPr>
        <w:t>(资料性)</w:t>
      </w:r>
    </w:p>
    <w:p w14:paraId="1D470682">
      <w:pPr>
        <w:pStyle w:val="13"/>
        <w:spacing w:after="360" w:line="360" w:lineRule="auto"/>
        <w:jc w:val="center"/>
        <w:rPr>
          <w:rFonts w:ascii="Times New Roman" w:hAnsi="Times New Roman" w:cs="Times New Roman"/>
          <w:color w:val="auto"/>
        </w:rPr>
      </w:pPr>
      <w:r>
        <w:rPr>
          <w:rStyle w:val="14"/>
          <w:rFonts w:ascii="Times New Roman" w:hAnsi="Times New Roman" w:cs="Times New Roman"/>
          <w:color w:val="auto"/>
        </w:rPr>
        <w:t>质量安全管理制度目录</w:t>
      </w:r>
    </w:p>
    <w:p w14:paraId="60E24818">
      <w:pPr>
        <w:pStyle w:val="15"/>
        <w:spacing w:after="80" w:line="360" w:lineRule="auto"/>
        <w:ind w:firstLine="720"/>
        <w:rPr>
          <w:rStyle w:val="16"/>
          <w:rFonts w:ascii="Times New Roman" w:hAnsi="Times New Roman" w:cs="Times New Roman"/>
          <w:color w:val="auto"/>
        </w:rPr>
      </w:pPr>
      <w:r>
        <w:rPr>
          <w:rStyle w:val="16"/>
          <w:rFonts w:ascii="Times New Roman" w:hAnsi="Times New Roman" w:cs="Times New Roman"/>
          <w:color w:val="auto"/>
        </w:rPr>
        <w:t>食品相关产品和食品相关产品添加剂生产企业至少应制定以下质量安全管理制度：</w:t>
      </w:r>
    </w:p>
    <w:p w14:paraId="7F6B624B">
      <w:pPr>
        <w:pStyle w:val="15"/>
        <w:spacing w:after="80" w:line="360" w:lineRule="auto"/>
        <w:ind w:firstLine="720"/>
        <w:rPr>
          <w:rStyle w:val="16"/>
          <w:rFonts w:ascii="Times New Roman" w:hAnsi="Times New Roman" w:cs="Times New Roman"/>
          <w:color w:val="auto"/>
        </w:rPr>
      </w:pPr>
      <w:r>
        <w:rPr>
          <w:rStyle w:val="16"/>
          <w:rFonts w:ascii="Times New Roman" w:hAnsi="Times New Roman" w:cs="Times New Roman"/>
          <w:color w:val="auto"/>
        </w:rPr>
        <w:t>1</w:t>
      </w:r>
      <w:r>
        <w:rPr>
          <w:rStyle w:val="16"/>
          <w:rFonts w:hint="eastAsia" w:ascii="Times New Roman" w:hAnsi="Times New Roman" w:cs="Times New Roman"/>
          <w:color w:val="auto"/>
          <w:lang w:val="en-US"/>
        </w:rPr>
        <w:t>.</w:t>
      </w:r>
      <w:r>
        <w:rPr>
          <w:rStyle w:val="16"/>
          <w:rFonts w:ascii="Times New Roman" w:hAnsi="Times New Roman" w:cs="Times New Roman"/>
          <w:color w:val="auto"/>
        </w:rPr>
        <w:t>岗位培训制度</w:t>
      </w:r>
    </w:p>
    <w:p w14:paraId="4988606D">
      <w:pPr>
        <w:pStyle w:val="15"/>
        <w:spacing w:after="80" w:line="360" w:lineRule="auto"/>
        <w:ind w:firstLine="720"/>
        <w:rPr>
          <w:rStyle w:val="16"/>
          <w:rFonts w:ascii="Times New Roman" w:hAnsi="Times New Roman" w:cs="Times New Roman"/>
          <w:color w:val="auto"/>
        </w:rPr>
      </w:pPr>
      <w:r>
        <w:rPr>
          <w:rStyle w:val="16"/>
          <w:rFonts w:ascii="Times New Roman" w:hAnsi="Times New Roman" w:cs="Times New Roman"/>
          <w:color w:val="auto"/>
        </w:rPr>
        <w:t>2</w:t>
      </w:r>
      <w:r>
        <w:rPr>
          <w:rStyle w:val="16"/>
          <w:rFonts w:hint="eastAsia" w:ascii="Times New Roman" w:hAnsi="Times New Roman" w:cs="Times New Roman"/>
          <w:color w:val="auto"/>
          <w:lang w:val="en-US"/>
        </w:rPr>
        <w:t>.</w:t>
      </w:r>
      <w:r>
        <w:rPr>
          <w:rStyle w:val="16"/>
          <w:rFonts w:ascii="Times New Roman" w:hAnsi="Times New Roman" w:cs="Times New Roman"/>
          <w:color w:val="auto"/>
        </w:rPr>
        <w:t>人员卫生制度</w:t>
      </w:r>
    </w:p>
    <w:p w14:paraId="598F9242">
      <w:pPr>
        <w:pStyle w:val="15"/>
        <w:spacing w:after="80" w:line="360" w:lineRule="auto"/>
        <w:ind w:firstLine="720"/>
        <w:rPr>
          <w:rStyle w:val="16"/>
          <w:rFonts w:ascii="Times New Roman" w:hAnsi="Times New Roman" w:cs="Times New Roman"/>
          <w:color w:val="auto"/>
        </w:rPr>
      </w:pPr>
      <w:r>
        <w:rPr>
          <w:rStyle w:val="16"/>
          <w:rFonts w:ascii="Times New Roman" w:hAnsi="Times New Roman" w:cs="Times New Roman"/>
          <w:color w:val="auto"/>
        </w:rPr>
        <w:t>3</w:t>
      </w:r>
      <w:r>
        <w:rPr>
          <w:rStyle w:val="16"/>
          <w:rFonts w:hint="eastAsia" w:ascii="Times New Roman" w:hAnsi="Times New Roman" w:cs="Times New Roman"/>
          <w:color w:val="auto"/>
          <w:lang w:val="en-US"/>
        </w:rPr>
        <w:t>.</w:t>
      </w:r>
      <w:r>
        <w:rPr>
          <w:rStyle w:val="16"/>
          <w:rFonts w:ascii="Times New Roman" w:hAnsi="Times New Roman" w:cs="Times New Roman"/>
          <w:color w:val="auto"/>
        </w:rPr>
        <w:t>原辅料的采购、验收、运输和贮存管理制度</w:t>
      </w:r>
    </w:p>
    <w:p w14:paraId="010C00A8">
      <w:pPr>
        <w:pStyle w:val="15"/>
        <w:spacing w:after="80" w:line="360" w:lineRule="auto"/>
        <w:ind w:firstLine="720"/>
        <w:rPr>
          <w:rStyle w:val="16"/>
          <w:rFonts w:ascii="Times New Roman" w:hAnsi="Times New Roman" w:cs="Times New Roman"/>
          <w:color w:val="auto"/>
        </w:rPr>
      </w:pPr>
      <w:r>
        <w:rPr>
          <w:rStyle w:val="16"/>
          <w:rFonts w:ascii="Times New Roman" w:hAnsi="Times New Roman" w:cs="Times New Roman"/>
          <w:color w:val="auto"/>
        </w:rPr>
        <w:t>4</w:t>
      </w:r>
      <w:r>
        <w:rPr>
          <w:rStyle w:val="16"/>
          <w:rFonts w:hint="eastAsia" w:ascii="Times New Roman" w:hAnsi="Times New Roman" w:cs="Times New Roman"/>
          <w:color w:val="auto"/>
          <w:lang w:val="en-US"/>
        </w:rPr>
        <w:t>.</w:t>
      </w:r>
      <w:r>
        <w:rPr>
          <w:rStyle w:val="16"/>
          <w:rFonts w:ascii="Times New Roman" w:hAnsi="Times New Roman" w:cs="Times New Roman"/>
          <w:color w:val="auto"/>
        </w:rPr>
        <w:t>原辅料供应商管理制度</w:t>
      </w:r>
    </w:p>
    <w:p w14:paraId="204C4CD9">
      <w:pPr>
        <w:pStyle w:val="15"/>
        <w:spacing w:after="80" w:line="360" w:lineRule="auto"/>
        <w:ind w:firstLine="720"/>
        <w:rPr>
          <w:rStyle w:val="16"/>
          <w:rFonts w:ascii="Times New Roman" w:hAnsi="Times New Roman" w:cs="Times New Roman"/>
          <w:color w:val="auto"/>
        </w:rPr>
      </w:pPr>
      <w:r>
        <w:rPr>
          <w:rStyle w:val="16"/>
          <w:rFonts w:ascii="Times New Roman" w:hAnsi="Times New Roman" w:cs="Times New Roman"/>
          <w:color w:val="auto"/>
        </w:rPr>
        <w:t>5</w:t>
      </w:r>
      <w:r>
        <w:rPr>
          <w:rStyle w:val="16"/>
          <w:rFonts w:hint="eastAsia" w:ascii="Times New Roman" w:hAnsi="Times New Roman" w:cs="Times New Roman"/>
          <w:color w:val="auto"/>
          <w:lang w:val="en-US"/>
        </w:rPr>
        <w:t>.</w:t>
      </w:r>
      <w:r>
        <w:rPr>
          <w:rStyle w:val="16"/>
          <w:rFonts w:ascii="Times New Roman" w:hAnsi="Times New Roman" w:cs="Times New Roman"/>
          <w:color w:val="auto"/>
        </w:rPr>
        <w:t>原辅料出入库记录制度</w:t>
      </w:r>
    </w:p>
    <w:p w14:paraId="4665C2FF">
      <w:pPr>
        <w:pStyle w:val="15"/>
        <w:spacing w:after="80" w:line="360" w:lineRule="auto"/>
        <w:ind w:firstLine="720"/>
        <w:rPr>
          <w:rStyle w:val="16"/>
          <w:rFonts w:ascii="Times New Roman" w:hAnsi="Times New Roman" w:cs="Times New Roman"/>
          <w:color w:val="auto"/>
        </w:rPr>
      </w:pPr>
      <w:r>
        <w:rPr>
          <w:rStyle w:val="16"/>
          <w:rFonts w:ascii="Times New Roman" w:hAnsi="Times New Roman" w:cs="Times New Roman"/>
          <w:color w:val="auto"/>
        </w:rPr>
        <w:t>6</w:t>
      </w:r>
      <w:r>
        <w:rPr>
          <w:rStyle w:val="16"/>
          <w:rFonts w:hint="eastAsia" w:ascii="Times New Roman" w:hAnsi="Times New Roman" w:cs="Times New Roman"/>
          <w:color w:val="auto"/>
          <w:lang w:val="en-US"/>
        </w:rPr>
        <w:t>.</w:t>
      </w:r>
      <w:r>
        <w:rPr>
          <w:rStyle w:val="16"/>
          <w:rFonts w:ascii="Times New Roman" w:hAnsi="Times New Roman" w:cs="Times New Roman"/>
          <w:color w:val="auto"/>
        </w:rPr>
        <w:t>关键环节控制措施</w:t>
      </w:r>
    </w:p>
    <w:p w14:paraId="35D004BD">
      <w:pPr>
        <w:pStyle w:val="15"/>
        <w:spacing w:after="80" w:line="360" w:lineRule="auto"/>
        <w:ind w:firstLine="720"/>
        <w:rPr>
          <w:rStyle w:val="16"/>
          <w:rFonts w:ascii="Times New Roman" w:hAnsi="Times New Roman" w:cs="Times New Roman"/>
          <w:color w:val="auto"/>
        </w:rPr>
      </w:pPr>
      <w:r>
        <w:rPr>
          <w:rStyle w:val="16"/>
          <w:rFonts w:ascii="Times New Roman" w:hAnsi="Times New Roman" w:cs="Times New Roman"/>
          <w:color w:val="auto"/>
        </w:rPr>
        <w:t>7</w:t>
      </w:r>
      <w:r>
        <w:rPr>
          <w:rStyle w:val="16"/>
          <w:rFonts w:hint="eastAsia" w:ascii="Times New Roman" w:hAnsi="Times New Roman" w:cs="Times New Roman"/>
          <w:color w:val="auto"/>
          <w:lang w:val="en-US"/>
        </w:rPr>
        <w:t>.</w:t>
      </w:r>
      <w:r>
        <w:rPr>
          <w:rStyle w:val="16"/>
          <w:rFonts w:ascii="Times New Roman" w:hAnsi="Times New Roman" w:cs="Times New Roman"/>
          <w:color w:val="auto"/>
        </w:rPr>
        <w:t>出厂检验记录制度</w:t>
      </w:r>
    </w:p>
    <w:p w14:paraId="4BBED570">
      <w:pPr>
        <w:pStyle w:val="15"/>
        <w:spacing w:after="80" w:line="360" w:lineRule="auto"/>
        <w:ind w:firstLine="720"/>
        <w:rPr>
          <w:rStyle w:val="16"/>
          <w:rFonts w:ascii="Times New Roman" w:hAnsi="Times New Roman" w:cs="Times New Roman"/>
          <w:color w:val="auto"/>
        </w:rPr>
      </w:pPr>
      <w:r>
        <w:rPr>
          <w:rStyle w:val="16"/>
          <w:rFonts w:ascii="Times New Roman" w:hAnsi="Times New Roman" w:cs="Times New Roman"/>
          <w:color w:val="auto"/>
        </w:rPr>
        <w:t>8</w:t>
      </w:r>
      <w:r>
        <w:rPr>
          <w:rStyle w:val="16"/>
          <w:rFonts w:hint="eastAsia" w:ascii="Times New Roman" w:hAnsi="Times New Roman" w:cs="Times New Roman"/>
          <w:color w:val="auto"/>
          <w:lang w:val="en-US"/>
        </w:rPr>
        <w:t>.</w:t>
      </w:r>
      <w:r>
        <w:rPr>
          <w:rStyle w:val="16"/>
          <w:rFonts w:ascii="Times New Roman" w:hAnsi="Times New Roman" w:cs="Times New Roman"/>
          <w:color w:val="auto"/>
        </w:rPr>
        <w:t>不合格品管理制度</w:t>
      </w:r>
    </w:p>
    <w:p w14:paraId="2AF6A078">
      <w:pPr>
        <w:pStyle w:val="15"/>
        <w:spacing w:after="80" w:line="360" w:lineRule="auto"/>
        <w:ind w:firstLine="720"/>
        <w:rPr>
          <w:rStyle w:val="16"/>
          <w:rFonts w:ascii="Times New Roman" w:hAnsi="Times New Roman" w:cs="Times New Roman"/>
          <w:color w:val="auto"/>
        </w:rPr>
      </w:pPr>
      <w:r>
        <w:rPr>
          <w:rStyle w:val="16"/>
          <w:rFonts w:ascii="Times New Roman" w:hAnsi="Times New Roman" w:cs="Times New Roman"/>
          <w:color w:val="auto"/>
        </w:rPr>
        <w:t>9</w:t>
      </w:r>
      <w:r>
        <w:rPr>
          <w:rStyle w:val="16"/>
          <w:rFonts w:hint="eastAsia" w:ascii="Times New Roman" w:hAnsi="Times New Roman" w:cs="Times New Roman"/>
          <w:color w:val="auto"/>
          <w:lang w:val="en-US"/>
        </w:rPr>
        <w:t>.</w:t>
      </w:r>
      <w:r>
        <w:rPr>
          <w:rStyle w:val="16"/>
          <w:rFonts w:ascii="Times New Roman" w:hAnsi="Times New Roman" w:cs="Times New Roman"/>
          <w:color w:val="auto"/>
        </w:rPr>
        <w:t>成品留样保存制度</w:t>
      </w:r>
    </w:p>
    <w:p w14:paraId="3A8F7FF5">
      <w:pPr>
        <w:pStyle w:val="15"/>
        <w:spacing w:after="80" w:line="360" w:lineRule="auto"/>
        <w:ind w:firstLine="720"/>
        <w:rPr>
          <w:rStyle w:val="16"/>
          <w:rFonts w:ascii="Times New Roman" w:hAnsi="Times New Roman" w:cs="Times New Roman"/>
          <w:color w:val="auto"/>
        </w:rPr>
      </w:pPr>
      <w:r>
        <w:rPr>
          <w:rStyle w:val="16"/>
          <w:rFonts w:ascii="Times New Roman" w:hAnsi="Times New Roman" w:cs="Times New Roman"/>
          <w:color w:val="auto"/>
        </w:rPr>
        <w:t>10</w:t>
      </w:r>
      <w:r>
        <w:rPr>
          <w:rStyle w:val="16"/>
          <w:rFonts w:hint="eastAsia" w:ascii="Times New Roman" w:hAnsi="Times New Roman" w:cs="Times New Roman"/>
          <w:color w:val="auto"/>
          <w:lang w:val="en-US"/>
        </w:rPr>
        <w:t>.</w:t>
      </w:r>
      <w:r>
        <w:rPr>
          <w:rStyle w:val="16"/>
          <w:rFonts w:ascii="Times New Roman" w:hAnsi="Times New Roman" w:cs="Times New Roman"/>
          <w:color w:val="auto"/>
        </w:rPr>
        <w:t>产品追溯制度</w:t>
      </w:r>
    </w:p>
    <w:p w14:paraId="0AE4E93A">
      <w:pPr>
        <w:pStyle w:val="15"/>
        <w:spacing w:after="80" w:line="360" w:lineRule="auto"/>
        <w:ind w:firstLine="720"/>
        <w:rPr>
          <w:rStyle w:val="16"/>
          <w:rFonts w:ascii="Times New Roman" w:hAnsi="Times New Roman" w:cs="Times New Roman"/>
          <w:color w:val="auto"/>
        </w:rPr>
      </w:pPr>
      <w:r>
        <w:rPr>
          <w:rStyle w:val="16"/>
          <w:rFonts w:ascii="Times New Roman" w:hAnsi="Times New Roman" w:cs="Times New Roman"/>
          <w:color w:val="auto"/>
        </w:rPr>
        <w:t>11</w:t>
      </w:r>
      <w:r>
        <w:rPr>
          <w:rStyle w:val="16"/>
          <w:rFonts w:hint="eastAsia" w:ascii="Times New Roman" w:hAnsi="Times New Roman" w:cs="Times New Roman"/>
          <w:color w:val="auto"/>
          <w:lang w:val="en-US"/>
        </w:rPr>
        <w:t>.</w:t>
      </w:r>
      <w:r>
        <w:rPr>
          <w:rStyle w:val="16"/>
          <w:rFonts w:ascii="Times New Roman" w:hAnsi="Times New Roman" w:cs="Times New Roman"/>
          <w:color w:val="auto"/>
        </w:rPr>
        <w:t>产品召回制度</w:t>
      </w:r>
    </w:p>
    <w:p w14:paraId="3247A412">
      <w:pPr>
        <w:pStyle w:val="15"/>
        <w:spacing w:after="80" w:line="360" w:lineRule="auto"/>
        <w:ind w:firstLine="720"/>
        <w:rPr>
          <w:rStyle w:val="16"/>
          <w:rFonts w:ascii="Times New Roman" w:hAnsi="Times New Roman" w:cs="Times New Roman"/>
          <w:color w:val="auto"/>
        </w:rPr>
      </w:pPr>
      <w:r>
        <w:rPr>
          <w:rStyle w:val="16"/>
          <w:rFonts w:ascii="Times New Roman" w:hAnsi="Times New Roman" w:cs="Times New Roman"/>
          <w:color w:val="auto"/>
        </w:rPr>
        <w:t>12</w:t>
      </w:r>
      <w:r>
        <w:rPr>
          <w:rStyle w:val="16"/>
          <w:rFonts w:hint="eastAsia" w:ascii="Times New Roman" w:hAnsi="Times New Roman" w:cs="Times New Roman"/>
          <w:color w:val="auto"/>
          <w:lang w:val="en-US"/>
        </w:rPr>
        <w:t>.</w:t>
      </w:r>
      <w:r>
        <w:rPr>
          <w:rStyle w:val="16"/>
          <w:rFonts w:ascii="Times New Roman" w:hAnsi="Times New Roman" w:cs="Times New Roman"/>
          <w:color w:val="auto"/>
        </w:rPr>
        <w:t>客户投诉处理制度</w:t>
      </w:r>
    </w:p>
    <w:p w14:paraId="31ADEFA6">
      <w:pPr>
        <w:pStyle w:val="15"/>
        <w:spacing w:after="80" w:line="360" w:lineRule="auto"/>
        <w:ind w:firstLine="720"/>
        <w:rPr>
          <w:rStyle w:val="16"/>
          <w:rFonts w:ascii="Times New Roman" w:hAnsi="Times New Roman" w:cs="Times New Roman"/>
          <w:color w:val="auto"/>
        </w:rPr>
      </w:pPr>
      <w:r>
        <w:rPr>
          <w:rStyle w:val="16"/>
          <w:rFonts w:ascii="Times New Roman" w:hAnsi="Times New Roman" w:cs="Times New Roman"/>
          <w:color w:val="auto"/>
        </w:rPr>
        <w:t>13</w:t>
      </w:r>
      <w:r>
        <w:rPr>
          <w:rStyle w:val="16"/>
          <w:rFonts w:hint="eastAsia" w:ascii="Times New Roman" w:hAnsi="Times New Roman" w:cs="Times New Roman"/>
          <w:color w:val="auto"/>
          <w:lang w:val="en-US"/>
        </w:rPr>
        <w:t>.</w:t>
      </w:r>
      <w:r>
        <w:rPr>
          <w:rStyle w:val="16"/>
          <w:rFonts w:ascii="Times New Roman" w:hAnsi="Times New Roman" w:cs="Times New Roman"/>
          <w:color w:val="auto"/>
        </w:rPr>
        <w:t>文件管理制度</w:t>
      </w:r>
    </w:p>
    <w:p w14:paraId="2FB8B262">
      <w:pPr>
        <w:pStyle w:val="13"/>
        <w:spacing w:before="940" w:after="300" w:line="360" w:lineRule="auto"/>
        <w:jc w:val="center"/>
        <w:rPr>
          <w:rStyle w:val="14"/>
          <w:rFonts w:ascii="Times New Roman" w:hAnsi="Times New Roman" w:cs="Times New Roman"/>
          <w:color w:val="auto"/>
        </w:rPr>
      </w:pPr>
    </w:p>
    <w:p w14:paraId="30C04CC3">
      <w:pPr>
        <w:pStyle w:val="13"/>
        <w:spacing w:before="940" w:after="300" w:line="360" w:lineRule="auto"/>
        <w:jc w:val="center"/>
        <w:rPr>
          <w:rStyle w:val="14"/>
          <w:rFonts w:ascii="Times New Roman" w:hAnsi="Times New Roman" w:cs="Times New Roman"/>
          <w:color w:val="auto"/>
        </w:rPr>
      </w:pPr>
    </w:p>
    <w:p w14:paraId="690C4AE0">
      <w:pPr>
        <w:pStyle w:val="13"/>
        <w:spacing w:before="940" w:after="300" w:line="360" w:lineRule="auto"/>
        <w:jc w:val="center"/>
        <w:rPr>
          <w:rStyle w:val="14"/>
          <w:rFonts w:ascii="Times New Roman" w:hAnsi="Times New Roman" w:cs="Times New Roman"/>
          <w:color w:val="auto"/>
        </w:rPr>
      </w:pPr>
    </w:p>
    <w:p w14:paraId="4F433ACE">
      <w:pPr>
        <w:pStyle w:val="13"/>
        <w:spacing w:before="940" w:after="300" w:line="360" w:lineRule="auto"/>
        <w:jc w:val="center"/>
        <w:rPr>
          <w:rStyle w:val="14"/>
          <w:rFonts w:ascii="Times New Roman" w:hAnsi="Times New Roman" w:cs="Times New Roman"/>
          <w:color w:val="auto"/>
        </w:rPr>
      </w:pPr>
    </w:p>
    <w:p w14:paraId="53615124">
      <w:pPr>
        <w:pStyle w:val="13"/>
        <w:spacing w:before="940" w:after="300" w:line="360" w:lineRule="auto"/>
        <w:jc w:val="center"/>
        <w:rPr>
          <w:rStyle w:val="14"/>
          <w:rFonts w:ascii="Times New Roman" w:hAnsi="Times New Roman" w:cs="Times New Roman"/>
          <w:color w:val="auto"/>
        </w:rPr>
        <w:sectPr>
          <w:pgSz w:w="11909" w:h="16838"/>
          <w:pgMar w:top="1440" w:right="1800" w:bottom="1440" w:left="1800" w:header="1134" w:footer="1134" w:gutter="0"/>
          <w:pgNumType w:fmt="decimal"/>
          <w:cols w:space="720" w:num="1"/>
          <w:docGrid w:linePitch="360" w:charSpace="0"/>
        </w:sectPr>
      </w:pPr>
    </w:p>
    <w:p w14:paraId="69E8FA92">
      <w:pPr>
        <w:pStyle w:val="2"/>
        <w:spacing w:before="120" w:beforeLines="50" w:after="120" w:afterLines="50" w:line="360" w:lineRule="auto"/>
        <w:jc w:val="center"/>
        <w:rPr>
          <w:rStyle w:val="14"/>
          <w:rFonts w:ascii="Times New Roman" w:hAnsi="Times New Roman" w:cs="Times New Roman"/>
          <w:b w:val="0"/>
          <w:bCs w:val="0"/>
          <w:color w:val="auto"/>
        </w:rPr>
      </w:pPr>
      <w:bookmarkStart w:id="52" w:name="_Toc12777"/>
      <w:r>
        <w:rPr>
          <w:rStyle w:val="14"/>
          <w:rFonts w:ascii="Times New Roman" w:hAnsi="Times New Roman" w:cs="Times New Roman"/>
          <w:b w:val="0"/>
          <w:bCs w:val="0"/>
          <w:color w:val="auto"/>
        </w:rPr>
        <w:t>附 录 B</w:t>
      </w:r>
      <w:bookmarkEnd w:id="52"/>
    </w:p>
    <w:p w14:paraId="1A3C808D">
      <w:pPr>
        <w:pStyle w:val="13"/>
        <w:spacing w:after="80" w:line="360" w:lineRule="auto"/>
        <w:jc w:val="center"/>
        <w:rPr>
          <w:rFonts w:ascii="Times New Roman" w:hAnsi="Times New Roman" w:cs="Times New Roman"/>
          <w:color w:val="auto"/>
        </w:rPr>
      </w:pPr>
      <w:r>
        <w:rPr>
          <w:rStyle w:val="14"/>
          <w:rFonts w:ascii="Times New Roman" w:hAnsi="Times New Roman" w:cs="Times New Roman"/>
          <w:color w:val="auto"/>
        </w:rPr>
        <w:t>(资料性)</w:t>
      </w:r>
    </w:p>
    <w:p w14:paraId="1744ED87">
      <w:pPr>
        <w:pStyle w:val="13"/>
        <w:spacing w:after="360" w:line="360" w:lineRule="auto"/>
        <w:jc w:val="center"/>
        <w:rPr>
          <w:rStyle w:val="14"/>
          <w:rFonts w:ascii="Times New Roman" w:hAnsi="Times New Roman" w:cs="Times New Roman"/>
          <w:color w:val="auto"/>
          <w:lang w:val="en-US"/>
        </w:rPr>
      </w:pPr>
      <w:r>
        <w:rPr>
          <w:rStyle w:val="14"/>
          <w:rFonts w:ascii="Times New Roman" w:hAnsi="Times New Roman" w:cs="Times New Roman"/>
          <w:color w:val="auto"/>
        </w:rPr>
        <w:t>日管控、周排查、月调度</w:t>
      </w:r>
      <w:r>
        <w:rPr>
          <w:rStyle w:val="14"/>
          <w:rFonts w:ascii="Times New Roman" w:hAnsi="Times New Roman" w:cs="Times New Roman"/>
          <w:color w:val="auto"/>
          <w:lang w:val="en-US"/>
        </w:rPr>
        <w:t>记录表格示例</w:t>
      </w:r>
    </w:p>
    <w:p w14:paraId="325A3856">
      <w:pPr>
        <w:tabs>
          <w:tab w:val="left" w:pos="8491"/>
        </w:tabs>
        <w:spacing w:line="360" w:lineRule="auto"/>
        <w:jc w:val="center"/>
        <w:rPr>
          <w:b/>
          <w:bCs/>
          <w:color w:val="auto"/>
          <w:sz w:val="32"/>
          <w:szCs w:val="32"/>
          <w:lang w:eastAsia="zh-CN"/>
        </w:rPr>
      </w:pPr>
      <w:r>
        <w:rPr>
          <w:rFonts w:hint="eastAsia" w:ascii="宋体" w:hAnsi="宋体" w:eastAsia="宋体" w:cs="宋体"/>
          <w:b/>
          <w:bCs/>
          <w:color w:val="auto"/>
          <w:sz w:val="32"/>
          <w:szCs w:val="32"/>
          <w:lang w:eastAsia="zh-CN"/>
        </w:rPr>
        <w:t>每日食品安全检查记录</w:t>
      </w:r>
      <w:r>
        <w:rPr>
          <w:b/>
          <w:bCs/>
          <w:color w:val="auto"/>
          <w:sz w:val="32"/>
          <w:szCs w:val="32"/>
          <w:lang w:eastAsia="zh-CN"/>
        </w:rPr>
        <w:t>(</w:t>
      </w:r>
      <w:r>
        <w:rPr>
          <w:rFonts w:hint="eastAsia" w:ascii="宋体" w:hAnsi="宋体" w:eastAsia="宋体" w:cs="宋体"/>
          <w:b/>
          <w:bCs/>
          <w:color w:val="auto"/>
          <w:sz w:val="32"/>
          <w:szCs w:val="32"/>
          <w:lang w:eastAsia="zh-CN"/>
        </w:rPr>
        <w:t>示例</w:t>
      </w:r>
      <w:r>
        <w:rPr>
          <w:b/>
          <w:bCs/>
          <w:color w:val="auto"/>
          <w:sz w:val="32"/>
          <w:szCs w:val="32"/>
          <w:lang w:eastAsia="zh-CN"/>
        </w:rPr>
        <w:t>)</w:t>
      </w:r>
    </w:p>
    <w:p w14:paraId="352D8270">
      <w:pPr>
        <w:tabs>
          <w:tab w:val="left" w:pos="8491"/>
        </w:tabs>
        <w:spacing w:line="360" w:lineRule="auto"/>
        <w:jc w:val="center"/>
        <w:rPr>
          <w:color w:val="auto"/>
          <w:lang w:eastAsia="zh-CN"/>
        </w:rPr>
      </w:pPr>
    </w:p>
    <w:p w14:paraId="70D405E7">
      <w:pPr>
        <w:tabs>
          <w:tab w:val="left" w:pos="8491"/>
        </w:tabs>
        <w:spacing w:line="360" w:lineRule="auto"/>
        <w:jc w:val="center"/>
        <w:rPr>
          <w:color w:val="auto"/>
          <w:lang w:eastAsia="zh-CN"/>
        </w:rPr>
      </w:pPr>
      <w:r>
        <w:rPr>
          <w:color w:val="auto"/>
          <w:lang w:eastAsia="zh-CN"/>
        </w:rPr>
        <w:t xml:space="preserve">( </w:t>
      </w:r>
      <w:r>
        <w:rPr>
          <w:rFonts w:hint="eastAsia" w:ascii="宋体" w:hAnsi="宋体" w:eastAsia="宋体" w:cs="宋体"/>
          <w:color w:val="auto"/>
          <w:lang w:eastAsia="zh-CN"/>
        </w:rPr>
        <w:t>风险管控清单版本号</w:t>
      </w:r>
      <w:r>
        <w:rPr>
          <w:color w:val="auto"/>
          <w:lang w:eastAsia="zh-CN"/>
        </w:rPr>
        <w:t>:</w:t>
      </w:r>
      <w:r>
        <w:rPr>
          <w:color w:val="auto"/>
          <w:u w:val="single"/>
          <w:lang w:eastAsia="zh-CN"/>
        </w:rPr>
        <w:t xml:space="preserve">          </w:t>
      </w:r>
      <w:r>
        <w:rPr>
          <w:rFonts w:hint="eastAsia" w:ascii="宋体" w:hAnsi="宋体" w:eastAsia="宋体" w:cs="宋体"/>
          <w:color w:val="auto"/>
          <w:lang w:eastAsia="zh-CN"/>
        </w:rPr>
        <w:t>）</w:t>
      </w:r>
    </w:p>
    <w:p w14:paraId="16EB1871">
      <w:pPr>
        <w:tabs>
          <w:tab w:val="left" w:pos="8491"/>
        </w:tabs>
        <w:spacing w:line="360" w:lineRule="auto"/>
        <w:rPr>
          <w:color w:val="auto"/>
          <w:lang w:eastAsia="zh-CN"/>
        </w:rPr>
      </w:pPr>
      <w:r>
        <w:rPr>
          <w:rFonts w:hint="eastAsia" w:ascii="宋体" w:hAnsi="宋体" w:eastAsia="宋体" w:cs="宋体"/>
          <w:color w:val="auto"/>
          <w:lang w:eastAsia="zh-CN"/>
        </w:rPr>
        <w:t>检查时间</w:t>
      </w:r>
      <w:r>
        <w:rPr>
          <w:color w:val="auto"/>
          <w:lang w:eastAsia="zh-CN"/>
        </w:rPr>
        <w:t xml:space="preserve">:                                                  </w:t>
      </w:r>
      <w:r>
        <w:rPr>
          <w:rFonts w:hint="eastAsia" w:ascii="宋体" w:hAnsi="宋体" w:eastAsia="宋体" w:cs="宋体"/>
          <w:color w:val="auto"/>
          <w:lang w:eastAsia="zh-CN"/>
        </w:rPr>
        <w:t>记录编号</w:t>
      </w:r>
      <w:r>
        <w:rPr>
          <w:color w:val="auto"/>
          <w:lang w:eastAsia="zh-CN"/>
        </w:rPr>
        <w: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5"/>
        <w:gridCol w:w="1060"/>
        <w:gridCol w:w="1060"/>
        <w:gridCol w:w="1060"/>
        <w:gridCol w:w="1060"/>
        <w:gridCol w:w="1060"/>
        <w:gridCol w:w="1060"/>
        <w:gridCol w:w="1060"/>
      </w:tblGrid>
      <w:tr w14:paraId="2A171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1" w:type="dxa"/>
            <w:gridSpan w:val="8"/>
          </w:tcPr>
          <w:p w14:paraId="1143910B">
            <w:pPr>
              <w:tabs>
                <w:tab w:val="left" w:pos="8491"/>
              </w:tabs>
              <w:spacing w:line="240" w:lineRule="auto"/>
              <w:jc w:val="center"/>
              <w:rPr>
                <w:color w:val="auto"/>
                <w:lang w:eastAsia="zh-CN"/>
              </w:rPr>
            </w:pPr>
            <w:r>
              <w:rPr>
                <w:rFonts w:hint="eastAsia" w:ascii="宋体" w:hAnsi="宋体" w:eastAsia="宋体" w:cs="宋体"/>
                <w:color w:val="auto"/>
                <w:lang w:eastAsia="zh-CN"/>
              </w:rPr>
              <w:t>本人承诺已根据风险管控清单的全部条款内容进行检查，检查的原始记录附后，检查结果如下</w:t>
            </w:r>
            <w:r>
              <w:rPr>
                <w:color w:val="auto"/>
                <w:lang w:eastAsia="zh-CN"/>
              </w:rPr>
              <w:t>:</w:t>
            </w:r>
            <w:r>
              <w:rPr>
                <w:rFonts w:hint="eastAsia" w:ascii="宋体" w:hAnsi="宋体" w:eastAsia="宋体" w:cs="宋体"/>
                <w:color w:val="auto"/>
                <w:lang w:eastAsia="zh-CN"/>
              </w:rPr>
              <w:t>口未发现问题，零报告</w:t>
            </w:r>
            <w:r>
              <w:rPr>
                <w:color w:val="auto"/>
                <w:lang w:eastAsia="zh-CN"/>
              </w:rPr>
              <w:t xml:space="preserve"> </w:t>
            </w:r>
            <w:r>
              <w:rPr>
                <w:rFonts w:hint="eastAsia" w:ascii="宋体" w:hAnsi="宋体" w:eastAsia="宋体" w:cs="宋体"/>
                <w:color w:val="auto"/>
                <w:lang w:eastAsia="zh-CN"/>
              </w:rPr>
              <w:t>口发现风险隐患。问题如下</w:t>
            </w:r>
            <w:r>
              <w:rPr>
                <w:color w:val="auto"/>
                <w:lang w:eastAsia="zh-CN"/>
              </w:rPr>
              <w:t>:</w:t>
            </w:r>
          </w:p>
        </w:tc>
      </w:tr>
      <w:tr w14:paraId="50ED4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4" w:hRule="atLeast"/>
        </w:trPr>
        <w:tc>
          <w:tcPr>
            <w:tcW w:w="1201" w:type="dxa"/>
          </w:tcPr>
          <w:p w14:paraId="2635F620">
            <w:pPr>
              <w:tabs>
                <w:tab w:val="left" w:pos="8491"/>
              </w:tabs>
              <w:spacing w:line="240" w:lineRule="auto"/>
              <w:jc w:val="both"/>
              <w:rPr>
                <w:color w:val="auto"/>
                <w:lang w:eastAsia="zh-CN"/>
              </w:rPr>
            </w:pPr>
            <w:r>
              <w:rPr>
                <w:rFonts w:hint="eastAsia" w:ascii="宋体" w:hAnsi="宋体" w:eastAsia="宋体" w:cs="宋体"/>
                <w:color w:val="auto"/>
                <w:lang w:eastAsia="zh-CN"/>
              </w:rPr>
              <w:t>序号</w:t>
            </w:r>
          </w:p>
          <w:p w14:paraId="36E8DF0F">
            <w:pPr>
              <w:tabs>
                <w:tab w:val="left" w:pos="8491"/>
              </w:tabs>
              <w:spacing w:line="240" w:lineRule="auto"/>
              <w:jc w:val="both"/>
              <w:rPr>
                <w:color w:val="auto"/>
                <w:lang w:eastAsia="zh-CN"/>
              </w:rPr>
            </w:pPr>
          </w:p>
        </w:tc>
        <w:tc>
          <w:tcPr>
            <w:tcW w:w="1201" w:type="dxa"/>
          </w:tcPr>
          <w:p w14:paraId="3BE1F2E1">
            <w:pPr>
              <w:tabs>
                <w:tab w:val="left" w:pos="8491"/>
              </w:tabs>
              <w:spacing w:line="240" w:lineRule="auto"/>
              <w:jc w:val="both"/>
              <w:rPr>
                <w:color w:val="auto"/>
                <w:lang w:eastAsia="zh-CN"/>
              </w:rPr>
            </w:pPr>
            <w:r>
              <w:rPr>
                <w:rFonts w:hint="eastAsia" w:ascii="宋体" w:hAnsi="宋体" w:eastAsia="宋体" w:cs="宋体"/>
                <w:color w:val="auto"/>
                <w:lang w:eastAsia="zh-CN"/>
              </w:rPr>
              <w:t>风险类型</w:t>
            </w:r>
          </w:p>
          <w:p w14:paraId="2F230936">
            <w:pPr>
              <w:tabs>
                <w:tab w:val="left" w:pos="8491"/>
              </w:tabs>
              <w:spacing w:line="240" w:lineRule="auto"/>
              <w:jc w:val="both"/>
              <w:rPr>
                <w:color w:val="auto"/>
                <w:lang w:eastAsia="zh-CN"/>
              </w:rPr>
            </w:pPr>
          </w:p>
        </w:tc>
        <w:tc>
          <w:tcPr>
            <w:tcW w:w="1201" w:type="dxa"/>
          </w:tcPr>
          <w:p w14:paraId="02A6F6AC">
            <w:pPr>
              <w:tabs>
                <w:tab w:val="left" w:pos="8491"/>
              </w:tabs>
              <w:spacing w:line="240" w:lineRule="auto"/>
              <w:jc w:val="both"/>
              <w:rPr>
                <w:color w:val="auto"/>
                <w:lang w:eastAsia="zh-CN"/>
              </w:rPr>
            </w:pPr>
            <w:r>
              <w:rPr>
                <w:rFonts w:hint="eastAsia" w:ascii="宋体" w:hAnsi="宋体" w:eastAsia="宋体" w:cs="宋体"/>
                <w:color w:val="auto"/>
                <w:lang w:eastAsia="zh-CN"/>
              </w:rPr>
              <w:t>风险隐患描述</w:t>
            </w:r>
          </w:p>
          <w:p w14:paraId="1D4FEB9D">
            <w:pPr>
              <w:tabs>
                <w:tab w:val="left" w:pos="8491"/>
              </w:tabs>
              <w:spacing w:line="240" w:lineRule="auto"/>
              <w:jc w:val="both"/>
              <w:rPr>
                <w:color w:val="auto"/>
                <w:lang w:eastAsia="zh-CN"/>
              </w:rPr>
            </w:pPr>
          </w:p>
        </w:tc>
        <w:tc>
          <w:tcPr>
            <w:tcW w:w="1201" w:type="dxa"/>
          </w:tcPr>
          <w:p w14:paraId="11554D25">
            <w:pPr>
              <w:tabs>
                <w:tab w:val="left" w:pos="8491"/>
              </w:tabs>
              <w:spacing w:line="240" w:lineRule="auto"/>
              <w:jc w:val="both"/>
              <w:rPr>
                <w:color w:val="auto"/>
                <w:lang w:eastAsia="zh-CN"/>
              </w:rPr>
            </w:pPr>
            <w:r>
              <w:rPr>
                <w:rFonts w:hint="eastAsia" w:ascii="宋体" w:hAnsi="宋体" w:eastAsia="宋体" w:cs="宋体"/>
                <w:color w:val="auto"/>
                <w:lang w:eastAsia="zh-CN"/>
              </w:rPr>
              <w:t>是否解决</w:t>
            </w:r>
          </w:p>
          <w:p w14:paraId="685CC7B0">
            <w:pPr>
              <w:tabs>
                <w:tab w:val="left" w:pos="8491"/>
              </w:tabs>
              <w:spacing w:line="240" w:lineRule="auto"/>
              <w:jc w:val="both"/>
              <w:rPr>
                <w:color w:val="auto"/>
                <w:lang w:eastAsia="zh-CN"/>
              </w:rPr>
            </w:pPr>
          </w:p>
        </w:tc>
        <w:tc>
          <w:tcPr>
            <w:tcW w:w="1201" w:type="dxa"/>
          </w:tcPr>
          <w:p w14:paraId="4A602845">
            <w:pPr>
              <w:tabs>
                <w:tab w:val="left" w:pos="8491"/>
              </w:tabs>
              <w:spacing w:line="240" w:lineRule="auto"/>
              <w:jc w:val="both"/>
              <w:rPr>
                <w:color w:val="auto"/>
                <w:lang w:eastAsia="zh-CN"/>
              </w:rPr>
            </w:pPr>
            <w:r>
              <w:rPr>
                <w:rFonts w:hint="eastAsia" w:ascii="宋体" w:hAnsi="宋体" w:eastAsia="宋体" w:cs="宋体"/>
                <w:color w:val="auto"/>
                <w:lang w:eastAsia="zh-CN"/>
              </w:rPr>
              <w:t>解决方法</w:t>
            </w:r>
          </w:p>
        </w:tc>
        <w:tc>
          <w:tcPr>
            <w:tcW w:w="1202" w:type="dxa"/>
          </w:tcPr>
          <w:p w14:paraId="48F23690">
            <w:pPr>
              <w:tabs>
                <w:tab w:val="left" w:pos="8491"/>
              </w:tabs>
              <w:spacing w:line="240" w:lineRule="auto"/>
              <w:jc w:val="both"/>
              <w:rPr>
                <w:color w:val="auto"/>
                <w:lang w:eastAsia="zh-CN"/>
              </w:rPr>
            </w:pPr>
            <w:r>
              <w:rPr>
                <w:rFonts w:hint="eastAsia" w:ascii="宋体" w:hAnsi="宋体" w:eastAsia="宋体" w:cs="宋体"/>
                <w:color w:val="auto"/>
                <w:lang w:eastAsia="zh-CN"/>
              </w:rPr>
              <w:t>未解决原因和防范措施</w:t>
            </w:r>
          </w:p>
        </w:tc>
        <w:tc>
          <w:tcPr>
            <w:tcW w:w="1202" w:type="dxa"/>
          </w:tcPr>
          <w:p w14:paraId="707B7E37">
            <w:pPr>
              <w:tabs>
                <w:tab w:val="left" w:pos="8491"/>
              </w:tabs>
              <w:spacing w:line="240" w:lineRule="auto"/>
              <w:jc w:val="both"/>
              <w:rPr>
                <w:color w:val="auto"/>
                <w:lang w:eastAsia="zh-CN"/>
              </w:rPr>
            </w:pPr>
            <w:r>
              <w:rPr>
                <w:rFonts w:hint="eastAsia" w:ascii="宋体" w:hAnsi="宋体" w:eastAsia="宋体" w:cs="宋体"/>
                <w:color w:val="auto"/>
                <w:lang w:eastAsia="zh-CN"/>
              </w:rPr>
              <w:t>是否为重大问题</w:t>
            </w:r>
          </w:p>
          <w:p w14:paraId="271E6C8A">
            <w:pPr>
              <w:tabs>
                <w:tab w:val="left" w:pos="8491"/>
              </w:tabs>
              <w:spacing w:line="240" w:lineRule="auto"/>
              <w:jc w:val="both"/>
              <w:rPr>
                <w:color w:val="auto"/>
                <w:lang w:eastAsia="zh-CN"/>
              </w:rPr>
            </w:pPr>
          </w:p>
        </w:tc>
        <w:tc>
          <w:tcPr>
            <w:tcW w:w="1202" w:type="dxa"/>
          </w:tcPr>
          <w:p w14:paraId="544E97B2">
            <w:pPr>
              <w:tabs>
                <w:tab w:val="left" w:pos="8491"/>
              </w:tabs>
              <w:spacing w:line="240" w:lineRule="auto"/>
              <w:jc w:val="both"/>
              <w:rPr>
                <w:color w:val="auto"/>
                <w:lang w:eastAsia="zh-CN"/>
              </w:rPr>
            </w:pPr>
            <w:r>
              <w:rPr>
                <w:rFonts w:hint="eastAsia" w:ascii="宋体" w:hAnsi="宋体" w:eastAsia="宋体" w:cs="宋体"/>
                <w:color w:val="auto"/>
                <w:lang w:eastAsia="zh-CN"/>
              </w:rPr>
              <w:t>上报时间及食品安全员</w:t>
            </w:r>
          </w:p>
        </w:tc>
      </w:tr>
      <w:tr w14:paraId="2204C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 w:hRule="atLeast"/>
        </w:trPr>
        <w:tc>
          <w:tcPr>
            <w:tcW w:w="1201" w:type="dxa"/>
          </w:tcPr>
          <w:p w14:paraId="2D55CCAC">
            <w:pPr>
              <w:tabs>
                <w:tab w:val="left" w:pos="8491"/>
              </w:tabs>
              <w:spacing w:line="240" w:lineRule="auto"/>
              <w:jc w:val="both"/>
              <w:rPr>
                <w:color w:val="auto"/>
                <w:lang w:eastAsia="zh-CN"/>
              </w:rPr>
            </w:pPr>
            <w:r>
              <w:rPr>
                <w:color w:val="auto"/>
                <w:lang w:eastAsia="zh-CN"/>
              </w:rPr>
              <w:t>1</w:t>
            </w:r>
          </w:p>
        </w:tc>
        <w:tc>
          <w:tcPr>
            <w:tcW w:w="1201" w:type="dxa"/>
          </w:tcPr>
          <w:p w14:paraId="31CA3445">
            <w:pPr>
              <w:tabs>
                <w:tab w:val="left" w:pos="8491"/>
              </w:tabs>
              <w:spacing w:line="240" w:lineRule="auto"/>
              <w:jc w:val="both"/>
              <w:rPr>
                <w:color w:val="auto"/>
                <w:lang w:eastAsia="zh-CN"/>
              </w:rPr>
            </w:pPr>
          </w:p>
        </w:tc>
        <w:tc>
          <w:tcPr>
            <w:tcW w:w="1201" w:type="dxa"/>
          </w:tcPr>
          <w:p w14:paraId="50AAA881">
            <w:pPr>
              <w:tabs>
                <w:tab w:val="left" w:pos="8491"/>
              </w:tabs>
              <w:spacing w:line="240" w:lineRule="auto"/>
              <w:jc w:val="both"/>
              <w:rPr>
                <w:color w:val="auto"/>
                <w:lang w:eastAsia="zh-CN"/>
              </w:rPr>
            </w:pPr>
          </w:p>
        </w:tc>
        <w:tc>
          <w:tcPr>
            <w:tcW w:w="1201" w:type="dxa"/>
          </w:tcPr>
          <w:p w14:paraId="53EC44A1">
            <w:pPr>
              <w:tabs>
                <w:tab w:val="left" w:pos="8491"/>
              </w:tabs>
              <w:spacing w:line="240" w:lineRule="auto"/>
              <w:jc w:val="both"/>
              <w:rPr>
                <w:color w:val="auto"/>
                <w:lang w:eastAsia="zh-CN"/>
              </w:rPr>
            </w:pPr>
            <w:r>
              <w:rPr>
                <w:rFonts w:hint="eastAsia" w:ascii="宋体" w:hAnsi="宋体" w:eastAsia="宋体" w:cs="宋体"/>
                <w:color w:val="auto"/>
                <w:lang w:eastAsia="zh-CN"/>
              </w:rPr>
              <w:t>口是</w:t>
            </w:r>
          </w:p>
          <w:p w14:paraId="42F9BF0B">
            <w:pPr>
              <w:tabs>
                <w:tab w:val="left" w:pos="8491"/>
              </w:tabs>
              <w:spacing w:line="240" w:lineRule="auto"/>
              <w:jc w:val="both"/>
              <w:rPr>
                <w:color w:val="auto"/>
                <w:lang w:eastAsia="zh-CN"/>
              </w:rPr>
            </w:pPr>
            <w:r>
              <w:rPr>
                <w:rFonts w:hint="eastAsia" w:ascii="宋体" w:hAnsi="宋体" w:eastAsia="宋体" w:cs="宋体"/>
                <w:color w:val="auto"/>
                <w:lang w:eastAsia="zh-CN"/>
              </w:rPr>
              <w:t>口否</w:t>
            </w:r>
          </w:p>
        </w:tc>
        <w:tc>
          <w:tcPr>
            <w:tcW w:w="1201" w:type="dxa"/>
          </w:tcPr>
          <w:p w14:paraId="107EFE13">
            <w:pPr>
              <w:tabs>
                <w:tab w:val="left" w:pos="8491"/>
              </w:tabs>
              <w:spacing w:line="240" w:lineRule="auto"/>
              <w:jc w:val="both"/>
              <w:rPr>
                <w:color w:val="auto"/>
                <w:lang w:eastAsia="zh-CN"/>
              </w:rPr>
            </w:pPr>
          </w:p>
        </w:tc>
        <w:tc>
          <w:tcPr>
            <w:tcW w:w="1202" w:type="dxa"/>
          </w:tcPr>
          <w:p w14:paraId="15A4EF34">
            <w:pPr>
              <w:tabs>
                <w:tab w:val="left" w:pos="8491"/>
              </w:tabs>
              <w:spacing w:line="240" w:lineRule="auto"/>
              <w:jc w:val="both"/>
              <w:rPr>
                <w:color w:val="auto"/>
                <w:lang w:eastAsia="zh-CN"/>
              </w:rPr>
            </w:pPr>
          </w:p>
        </w:tc>
        <w:tc>
          <w:tcPr>
            <w:tcW w:w="1202" w:type="dxa"/>
          </w:tcPr>
          <w:p w14:paraId="4969F71C">
            <w:pPr>
              <w:tabs>
                <w:tab w:val="left" w:pos="8491"/>
              </w:tabs>
              <w:spacing w:line="240" w:lineRule="auto"/>
              <w:jc w:val="both"/>
              <w:rPr>
                <w:color w:val="auto"/>
                <w:lang w:eastAsia="zh-CN"/>
              </w:rPr>
            </w:pPr>
            <w:r>
              <w:rPr>
                <w:rFonts w:hint="eastAsia" w:ascii="宋体" w:hAnsi="宋体" w:eastAsia="宋体" w:cs="宋体"/>
                <w:color w:val="auto"/>
                <w:lang w:eastAsia="zh-CN"/>
              </w:rPr>
              <w:t>口是</w:t>
            </w:r>
          </w:p>
          <w:p w14:paraId="116785C3">
            <w:pPr>
              <w:tabs>
                <w:tab w:val="left" w:pos="8491"/>
              </w:tabs>
              <w:spacing w:line="240" w:lineRule="auto"/>
              <w:jc w:val="both"/>
              <w:rPr>
                <w:color w:val="auto"/>
                <w:lang w:eastAsia="zh-CN"/>
              </w:rPr>
            </w:pPr>
            <w:r>
              <w:rPr>
                <w:rFonts w:hint="eastAsia" w:ascii="宋体" w:hAnsi="宋体" w:eastAsia="宋体" w:cs="宋体"/>
                <w:color w:val="auto"/>
                <w:lang w:eastAsia="zh-CN"/>
              </w:rPr>
              <w:t>口否</w:t>
            </w:r>
          </w:p>
        </w:tc>
        <w:tc>
          <w:tcPr>
            <w:tcW w:w="1202" w:type="dxa"/>
          </w:tcPr>
          <w:p w14:paraId="596B9B39">
            <w:pPr>
              <w:tabs>
                <w:tab w:val="left" w:pos="8491"/>
              </w:tabs>
              <w:spacing w:line="240" w:lineRule="auto"/>
              <w:jc w:val="both"/>
              <w:rPr>
                <w:color w:val="auto"/>
                <w:lang w:eastAsia="zh-CN"/>
              </w:rPr>
            </w:pPr>
          </w:p>
        </w:tc>
      </w:tr>
      <w:tr w14:paraId="05B64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1201" w:type="dxa"/>
          </w:tcPr>
          <w:p w14:paraId="64C62077">
            <w:pPr>
              <w:tabs>
                <w:tab w:val="left" w:pos="8491"/>
              </w:tabs>
              <w:spacing w:line="240" w:lineRule="auto"/>
              <w:jc w:val="both"/>
              <w:rPr>
                <w:color w:val="auto"/>
                <w:lang w:eastAsia="zh-CN"/>
              </w:rPr>
            </w:pPr>
            <w:r>
              <w:rPr>
                <w:color w:val="auto"/>
                <w:lang w:eastAsia="zh-CN"/>
              </w:rPr>
              <w:t>2</w:t>
            </w:r>
          </w:p>
        </w:tc>
        <w:tc>
          <w:tcPr>
            <w:tcW w:w="1201" w:type="dxa"/>
          </w:tcPr>
          <w:p w14:paraId="3108CFCA">
            <w:pPr>
              <w:tabs>
                <w:tab w:val="left" w:pos="8491"/>
              </w:tabs>
              <w:spacing w:line="240" w:lineRule="auto"/>
              <w:jc w:val="both"/>
              <w:rPr>
                <w:color w:val="auto"/>
                <w:lang w:eastAsia="zh-CN"/>
              </w:rPr>
            </w:pPr>
          </w:p>
        </w:tc>
        <w:tc>
          <w:tcPr>
            <w:tcW w:w="1201" w:type="dxa"/>
          </w:tcPr>
          <w:p w14:paraId="69E58D08">
            <w:pPr>
              <w:tabs>
                <w:tab w:val="left" w:pos="8491"/>
              </w:tabs>
              <w:spacing w:line="240" w:lineRule="auto"/>
              <w:jc w:val="both"/>
              <w:rPr>
                <w:color w:val="auto"/>
                <w:lang w:eastAsia="zh-CN"/>
              </w:rPr>
            </w:pPr>
          </w:p>
        </w:tc>
        <w:tc>
          <w:tcPr>
            <w:tcW w:w="1201" w:type="dxa"/>
          </w:tcPr>
          <w:p w14:paraId="5CC4DB9D">
            <w:pPr>
              <w:tabs>
                <w:tab w:val="left" w:pos="8491"/>
              </w:tabs>
              <w:spacing w:line="240" w:lineRule="auto"/>
              <w:jc w:val="both"/>
              <w:rPr>
                <w:color w:val="auto"/>
                <w:lang w:eastAsia="zh-CN"/>
              </w:rPr>
            </w:pPr>
            <w:r>
              <w:rPr>
                <w:rFonts w:hint="eastAsia" w:ascii="宋体" w:hAnsi="宋体" w:eastAsia="宋体" w:cs="宋体"/>
                <w:color w:val="auto"/>
                <w:lang w:eastAsia="zh-CN"/>
              </w:rPr>
              <w:t>口是</w:t>
            </w:r>
          </w:p>
          <w:p w14:paraId="20E9C128">
            <w:pPr>
              <w:tabs>
                <w:tab w:val="left" w:pos="8491"/>
              </w:tabs>
              <w:spacing w:line="240" w:lineRule="auto"/>
              <w:jc w:val="both"/>
              <w:rPr>
                <w:color w:val="auto"/>
                <w:lang w:eastAsia="zh-CN"/>
              </w:rPr>
            </w:pPr>
            <w:r>
              <w:rPr>
                <w:rFonts w:hint="eastAsia" w:ascii="宋体" w:hAnsi="宋体" w:eastAsia="宋体" w:cs="宋体"/>
                <w:color w:val="auto"/>
                <w:lang w:eastAsia="zh-CN"/>
              </w:rPr>
              <w:t>口否</w:t>
            </w:r>
          </w:p>
        </w:tc>
        <w:tc>
          <w:tcPr>
            <w:tcW w:w="1201" w:type="dxa"/>
          </w:tcPr>
          <w:p w14:paraId="53EB5F89">
            <w:pPr>
              <w:tabs>
                <w:tab w:val="left" w:pos="8491"/>
              </w:tabs>
              <w:spacing w:line="240" w:lineRule="auto"/>
              <w:jc w:val="both"/>
              <w:rPr>
                <w:color w:val="auto"/>
                <w:lang w:eastAsia="zh-CN"/>
              </w:rPr>
            </w:pPr>
          </w:p>
        </w:tc>
        <w:tc>
          <w:tcPr>
            <w:tcW w:w="1202" w:type="dxa"/>
          </w:tcPr>
          <w:p w14:paraId="06FAA542">
            <w:pPr>
              <w:tabs>
                <w:tab w:val="left" w:pos="8491"/>
              </w:tabs>
              <w:spacing w:line="240" w:lineRule="auto"/>
              <w:jc w:val="both"/>
              <w:rPr>
                <w:color w:val="auto"/>
                <w:lang w:eastAsia="zh-CN"/>
              </w:rPr>
            </w:pPr>
          </w:p>
        </w:tc>
        <w:tc>
          <w:tcPr>
            <w:tcW w:w="1202" w:type="dxa"/>
          </w:tcPr>
          <w:p w14:paraId="440BB468">
            <w:pPr>
              <w:tabs>
                <w:tab w:val="left" w:pos="8491"/>
              </w:tabs>
              <w:spacing w:line="240" w:lineRule="auto"/>
              <w:jc w:val="both"/>
              <w:rPr>
                <w:color w:val="auto"/>
                <w:lang w:eastAsia="zh-CN"/>
              </w:rPr>
            </w:pPr>
            <w:r>
              <w:rPr>
                <w:rFonts w:hint="eastAsia" w:ascii="宋体" w:hAnsi="宋体" w:eastAsia="宋体" w:cs="宋体"/>
                <w:color w:val="auto"/>
                <w:lang w:eastAsia="zh-CN"/>
              </w:rPr>
              <w:t>口是</w:t>
            </w:r>
          </w:p>
          <w:p w14:paraId="11F0C781">
            <w:pPr>
              <w:tabs>
                <w:tab w:val="left" w:pos="8491"/>
              </w:tabs>
              <w:spacing w:line="240" w:lineRule="auto"/>
              <w:jc w:val="both"/>
              <w:rPr>
                <w:color w:val="auto"/>
                <w:lang w:eastAsia="zh-CN"/>
              </w:rPr>
            </w:pPr>
            <w:r>
              <w:rPr>
                <w:rFonts w:hint="eastAsia" w:ascii="宋体" w:hAnsi="宋体" w:eastAsia="宋体" w:cs="宋体"/>
                <w:color w:val="auto"/>
                <w:lang w:eastAsia="zh-CN"/>
              </w:rPr>
              <w:t>口否</w:t>
            </w:r>
          </w:p>
        </w:tc>
        <w:tc>
          <w:tcPr>
            <w:tcW w:w="1202" w:type="dxa"/>
          </w:tcPr>
          <w:p w14:paraId="06D99B3C">
            <w:pPr>
              <w:tabs>
                <w:tab w:val="left" w:pos="8491"/>
              </w:tabs>
              <w:spacing w:line="240" w:lineRule="auto"/>
              <w:jc w:val="both"/>
              <w:rPr>
                <w:color w:val="auto"/>
                <w:lang w:eastAsia="zh-CN"/>
              </w:rPr>
            </w:pPr>
          </w:p>
        </w:tc>
      </w:tr>
      <w:tr w14:paraId="17F64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201" w:type="dxa"/>
          </w:tcPr>
          <w:p w14:paraId="699BF992">
            <w:pPr>
              <w:tabs>
                <w:tab w:val="left" w:pos="8491"/>
              </w:tabs>
              <w:spacing w:line="240" w:lineRule="auto"/>
              <w:jc w:val="both"/>
              <w:rPr>
                <w:color w:val="auto"/>
                <w:lang w:eastAsia="zh-CN"/>
              </w:rPr>
            </w:pPr>
            <w:r>
              <w:rPr>
                <w:color w:val="auto"/>
                <w:lang w:eastAsia="zh-CN"/>
              </w:rPr>
              <w:t>3</w:t>
            </w:r>
          </w:p>
        </w:tc>
        <w:tc>
          <w:tcPr>
            <w:tcW w:w="1201" w:type="dxa"/>
          </w:tcPr>
          <w:p w14:paraId="7D97E280">
            <w:pPr>
              <w:tabs>
                <w:tab w:val="left" w:pos="8491"/>
              </w:tabs>
              <w:spacing w:line="240" w:lineRule="auto"/>
              <w:jc w:val="both"/>
              <w:rPr>
                <w:color w:val="auto"/>
                <w:lang w:eastAsia="zh-CN"/>
              </w:rPr>
            </w:pPr>
          </w:p>
        </w:tc>
        <w:tc>
          <w:tcPr>
            <w:tcW w:w="1201" w:type="dxa"/>
          </w:tcPr>
          <w:p w14:paraId="0F680400">
            <w:pPr>
              <w:tabs>
                <w:tab w:val="left" w:pos="8491"/>
              </w:tabs>
              <w:spacing w:line="240" w:lineRule="auto"/>
              <w:jc w:val="both"/>
              <w:rPr>
                <w:color w:val="auto"/>
                <w:lang w:eastAsia="zh-CN"/>
              </w:rPr>
            </w:pPr>
          </w:p>
        </w:tc>
        <w:tc>
          <w:tcPr>
            <w:tcW w:w="1201" w:type="dxa"/>
          </w:tcPr>
          <w:p w14:paraId="690B2456">
            <w:pPr>
              <w:tabs>
                <w:tab w:val="left" w:pos="8491"/>
              </w:tabs>
              <w:spacing w:line="240" w:lineRule="auto"/>
              <w:jc w:val="both"/>
              <w:rPr>
                <w:color w:val="auto"/>
                <w:lang w:eastAsia="zh-CN"/>
              </w:rPr>
            </w:pPr>
            <w:r>
              <w:rPr>
                <w:rFonts w:hint="eastAsia" w:ascii="宋体" w:hAnsi="宋体" w:eastAsia="宋体" w:cs="宋体"/>
                <w:color w:val="auto"/>
                <w:lang w:eastAsia="zh-CN"/>
              </w:rPr>
              <w:t>口是</w:t>
            </w:r>
          </w:p>
          <w:p w14:paraId="1646258C">
            <w:pPr>
              <w:tabs>
                <w:tab w:val="left" w:pos="8491"/>
              </w:tabs>
              <w:spacing w:line="240" w:lineRule="auto"/>
              <w:jc w:val="both"/>
              <w:rPr>
                <w:color w:val="auto"/>
                <w:lang w:eastAsia="zh-CN"/>
              </w:rPr>
            </w:pPr>
            <w:r>
              <w:rPr>
                <w:rFonts w:hint="eastAsia" w:ascii="宋体" w:hAnsi="宋体" w:eastAsia="宋体" w:cs="宋体"/>
                <w:color w:val="auto"/>
                <w:lang w:eastAsia="zh-CN"/>
              </w:rPr>
              <w:t>口否</w:t>
            </w:r>
          </w:p>
        </w:tc>
        <w:tc>
          <w:tcPr>
            <w:tcW w:w="1201" w:type="dxa"/>
          </w:tcPr>
          <w:p w14:paraId="484DDDE4">
            <w:pPr>
              <w:tabs>
                <w:tab w:val="left" w:pos="8491"/>
              </w:tabs>
              <w:spacing w:line="240" w:lineRule="auto"/>
              <w:jc w:val="both"/>
              <w:rPr>
                <w:color w:val="auto"/>
                <w:lang w:eastAsia="zh-CN"/>
              </w:rPr>
            </w:pPr>
          </w:p>
        </w:tc>
        <w:tc>
          <w:tcPr>
            <w:tcW w:w="1202" w:type="dxa"/>
          </w:tcPr>
          <w:p w14:paraId="6C9EE7F1">
            <w:pPr>
              <w:tabs>
                <w:tab w:val="left" w:pos="8491"/>
              </w:tabs>
              <w:spacing w:line="240" w:lineRule="auto"/>
              <w:jc w:val="both"/>
              <w:rPr>
                <w:color w:val="auto"/>
                <w:lang w:eastAsia="zh-CN"/>
              </w:rPr>
            </w:pPr>
          </w:p>
        </w:tc>
        <w:tc>
          <w:tcPr>
            <w:tcW w:w="1202" w:type="dxa"/>
          </w:tcPr>
          <w:p w14:paraId="5B26482C">
            <w:pPr>
              <w:tabs>
                <w:tab w:val="left" w:pos="8491"/>
              </w:tabs>
              <w:spacing w:line="240" w:lineRule="auto"/>
              <w:jc w:val="both"/>
              <w:rPr>
                <w:color w:val="auto"/>
                <w:lang w:eastAsia="zh-CN"/>
              </w:rPr>
            </w:pPr>
            <w:r>
              <w:rPr>
                <w:rFonts w:hint="eastAsia" w:ascii="宋体" w:hAnsi="宋体" w:eastAsia="宋体" w:cs="宋体"/>
                <w:color w:val="auto"/>
                <w:lang w:eastAsia="zh-CN"/>
              </w:rPr>
              <w:t>口是</w:t>
            </w:r>
          </w:p>
          <w:p w14:paraId="7540AC33">
            <w:pPr>
              <w:tabs>
                <w:tab w:val="left" w:pos="8491"/>
              </w:tabs>
              <w:spacing w:line="240" w:lineRule="auto"/>
              <w:jc w:val="both"/>
              <w:rPr>
                <w:color w:val="auto"/>
                <w:lang w:eastAsia="zh-CN"/>
              </w:rPr>
            </w:pPr>
            <w:r>
              <w:rPr>
                <w:rFonts w:hint="eastAsia" w:ascii="宋体" w:hAnsi="宋体" w:eastAsia="宋体" w:cs="宋体"/>
                <w:color w:val="auto"/>
                <w:lang w:eastAsia="zh-CN"/>
              </w:rPr>
              <w:t>口否</w:t>
            </w:r>
          </w:p>
        </w:tc>
        <w:tc>
          <w:tcPr>
            <w:tcW w:w="1202" w:type="dxa"/>
          </w:tcPr>
          <w:p w14:paraId="09B34F02">
            <w:pPr>
              <w:tabs>
                <w:tab w:val="left" w:pos="8491"/>
              </w:tabs>
              <w:spacing w:line="240" w:lineRule="auto"/>
              <w:jc w:val="both"/>
              <w:rPr>
                <w:color w:val="auto"/>
                <w:lang w:eastAsia="zh-CN"/>
              </w:rPr>
            </w:pPr>
          </w:p>
        </w:tc>
      </w:tr>
      <w:tr w14:paraId="3E8AA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trPr>
        <w:tc>
          <w:tcPr>
            <w:tcW w:w="1201" w:type="dxa"/>
          </w:tcPr>
          <w:p w14:paraId="5A070F14">
            <w:pPr>
              <w:tabs>
                <w:tab w:val="left" w:pos="8491"/>
              </w:tabs>
              <w:spacing w:line="240" w:lineRule="auto"/>
              <w:jc w:val="both"/>
              <w:rPr>
                <w:color w:val="auto"/>
                <w:lang w:eastAsia="zh-CN"/>
              </w:rPr>
            </w:pPr>
            <w:r>
              <w:rPr>
                <w:color w:val="auto"/>
                <w:lang w:eastAsia="zh-CN"/>
              </w:rPr>
              <w:t>4</w:t>
            </w:r>
          </w:p>
        </w:tc>
        <w:tc>
          <w:tcPr>
            <w:tcW w:w="1201" w:type="dxa"/>
          </w:tcPr>
          <w:p w14:paraId="1ADA5E9B">
            <w:pPr>
              <w:tabs>
                <w:tab w:val="left" w:pos="8491"/>
              </w:tabs>
              <w:spacing w:line="240" w:lineRule="auto"/>
              <w:jc w:val="both"/>
              <w:rPr>
                <w:color w:val="auto"/>
                <w:lang w:eastAsia="zh-CN"/>
              </w:rPr>
            </w:pPr>
          </w:p>
        </w:tc>
        <w:tc>
          <w:tcPr>
            <w:tcW w:w="1201" w:type="dxa"/>
          </w:tcPr>
          <w:p w14:paraId="1742C994">
            <w:pPr>
              <w:tabs>
                <w:tab w:val="left" w:pos="8491"/>
              </w:tabs>
              <w:spacing w:line="240" w:lineRule="auto"/>
              <w:jc w:val="both"/>
              <w:rPr>
                <w:color w:val="auto"/>
                <w:lang w:eastAsia="zh-CN"/>
              </w:rPr>
            </w:pPr>
          </w:p>
        </w:tc>
        <w:tc>
          <w:tcPr>
            <w:tcW w:w="1201" w:type="dxa"/>
          </w:tcPr>
          <w:p w14:paraId="212923D1">
            <w:pPr>
              <w:tabs>
                <w:tab w:val="left" w:pos="8491"/>
              </w:tabs>
              <w:spacing w:line="240" w:lineRule="auto"/>
              <w:jc w:val="both"/>
              <w:rPr>
                <w:color w:val="auto"/>
                <w:lang w:eastAsia="zh-CN"/>
              </w:rPr>
            </w:pPr>
            <w:r>
              <w:rPr>
                <w:rFonts w:hint="eastAsia" w:ascii="宋体" w:hAnsi="宋体" w:eastAsia="宋体" w:cs="宋体"/>
                <w:color w:val="auto"/>
                <w:lang w:eastAsia="zh-CN"/>
              </w:rPr>
              <w:t>口是</w:t>
            </w:r>
          </w:p>
          <w:p w14:paraId="2B955352">
            <w:pPr>
              <w:tabs>
                <w:tab w:val="left" w:pos="8491"/>
              </w:tabs>
              <w:spacing w:line="240" w:lineRule="auto"/>
              <w:jc w:val="both"/>
              <w:rPr>
                <w:color w:val="auto"/>
                <w:lang w:eastAsia="zh-CN"/>
              </w:rPr>
            </w:pPr>
            <w:r>
              <w:rPr>
                <w:rFonts w:hint="eastAsia" w:ascii="宋体" w:hAnsi="宋体" w:eastAsia="宋体" w:cs="宋体"/>
                <w:color w:val="auto"/>
                <w:lang w:eastAsia="zh-CN"/>
              </w:rPr>
              <w:t>口否</w:t>
            </w:r>
          </w:p>
        </w:tc>
        <w:tc>
          <w:tcPr>
            <w:tcW w:w="1201" w:type="dxa"/>
          </w:tcPr>
          <w:p w14:paraId="2AE21BDB">
            <w:pPr>
              <w:tabs>
                <w:tab w:val="left" w:pos="8491"/>
              </w:tabs>
              <w:spacing w:line="240" w:lineRule="auto"/>
              <w:jc w:val="both"/>
              <w:rPr>
                <w:color w:val="auto"/>
                <w:lang w:eastAsia="zh-CN"/>
              </w:rPr>
            </w:pPr>
          </w:p>
        </w:tc>
        <w:tc>
          <w:tcPr>
            <w:tcW w:w="1202" w:type="dxa"/>
          </w:tcPr>
          <w:p w14:paraId="7B5BBAEB">
            <w:pPr>
              <w:tabs>
                <w:tab w:val="left" w:pos="8491"/>
              </w:tabs>
              <w:spacing w:line="240" w:lineRule="auto"/>
              <w:jc w:val="both"/>
              <w:rPr>
                <w:color w:val="auto"/>
                <w:lang w:eastAsia="zh-CN"/>
              </w:rPr>
            </w:pPr>
          </w:p>
        </w:tc>
        <w:tc>
          <w:tcPr>
            <w:tcW w:w="1202" w:type="dxa"/>
          </w:tcPr>
          <w:p w14:paraId="179D717C">
            <w:pPr>
              <w:tabs>
                <w:tab w:val="left" w:pos="8491"/>
              </w:tabs>
              <w:spacing w:line="240" w:lineRule="auto"/>
              <w:jc w:val="both"/>
              <w:rPr>
                <w:color w:val="auto"/>
                <w:lang w:eastAsia="zh-CN"/>
              </w:rPr>
            </w:pPr>
            <w:r>
              <w:rPr>
                <w:rFonts w:hint="eastAsia" w:ascii="宋体" w:hAnsi="宋体" w:eastAsia="宋体" w:cs="宋体"/>
                <w:color w:val="auto"/>
                <w:lang w:eastAsia="zh-CN"/>
              </w:rPr>
              <w:t>口是</w:t>
            </w:r>
          </w:p>
          <w:p w14:paraId="7AEE2B15">
            <w:pPr>
              <w:tabs>
                <w:tab w:val="left" w:pos="8491"/>
              </w:tabs>
              <w:spacing w:line="240" w:lineRule="auto"/>
              <w:jc w:val="both"/>
              <w:rPr>
                <w:color w:val="auto"/>
                <w:lang w:eastAsia="zh-CN"/>
              </w:rPr>
            </w:pPr>
            <w:r>
              <w:rPr>
                <w:rFonts w:hint="eastAsia" w:ascii="宋体" w:hAnsi="宋体" w:eastAsia="宋体" w:cs="宋体"/>
                <w:color w:val="auto"/>
                <w:lang w:eastAsia="zh-CN"/>
              </w:rPr>
              <w:t>口否</w:t>
            </w:r>
          </w:p>
        </w:tc>
        <w:tc>
          <w:tcPr>
            <w:tcW w:w="1202" w:type="dxa"/>
          </w:tcPr>
          <w:p w14:paraId="0AA0CB43">
            <w:pPr>
              <w:tabs>
                <w:tab w:val="left" w:pos="8491"/>
              </w:tabs>
              <w:spacing w:line="240" w:lineRule="auto"/>
              <w:jc w:val="both"/>
              <w:rPr>
                <w:color w:val="auto"/>
                <w:lang w:eastAsia="zh-CN"/>
              </w:rPr>
            </w:pPr>
          </w:p>
        </w:tc>
      </w:tr>
      <w:tr w14:paraId="27AA8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1201" w:type="dxa"/>
          </w:tcPr>
          <w:p w14:paraId="2B824C3C">
            <w:pPr>
              <w:tabs>
                <w:tab w:val="left" w:pos="8491"/>
              </w:tabs>
              <w:spacing w:line="240" w:lineRule="auto"/>
              <w:jc w:val="both"/>
              <w:rPr>
                <w:color w:val="auto"/>
                <w:lang w:eastAsia="zh-CN"/>
              </w:rPr>
            </w:pPr>
            <w:r>
              <w:rPr>
                <w:color w:val="auto"/>
                <w:lang w:eastAsia="zh-CN"/>
              </w:rPr>
              <w:t>5</w:t>
            </w:r>
          </w:p>
        </w:tc>
        <w:tc>
          <w:tcPr>
            <w:tcW w:w="1201" w:type="dxa"/>
          </w:tcPr>
          <w:p w14:paraId="3BAEDBD5">
            <w:pPr>
              <w:tabs>
                <w:tab w:val="left" w:pos="8491"/>
              </w:tabs>
              <w:spacing w:line="240" w:lineRule="auto"/>
              <w:jc w:val="both"/>
              <w:rPr>
                <w:color w:val="auto"/>
                <w:lang w:eastAsia="zh-CN"/>
              </w:rPr>
            </w:pPr>
          </w:p>
        </w:tc>
        <w:tc>
          <w:tcPr>
            <w:tcW w:w="1201" w:type="dxa"/>
          </w:tcPr>
          <w:p w14:paraId="5C59CB44">
            <w:pPr>
              <w:tabs>
                <w:tab w:val="left" w:pos="8491"/>
              </w:tabs>
              <w:spacing w:line="240" w:lineRule="auto"/>
              <w:jc w:val="both"/>
              <w:rPr>
                <w:color w:val="auto"/>
                <w:lang w:eastAsia="zh-CN"/>
              </w:rPr>
            </w:pPr>
          </w:p>
        </w:tc>
        <w:tc>
          <w:tcPr>
            <w:tcW w:w="1201" w:type="dxa"/>
          </w:tcPr>
          <w:p w14:paraId="78141458">
            <w:pPr>
              <w:tabs>
                <w:tab w:val="left" w:pos="8491"/>
              </w:tabs>
              <w:spacing w:line="240" w:lineRule="auto"/>
              <w:jc w:val="both"/>
              <w:rPr>
                <w:color w:val="auto"/>
                <w:lang w:eastAsia="zh-CN"/>
              </w:rPr>
            </w:pPr>
            <w:r>
              <w:rPr>
                <w:rFonts w:hint="eastAsia" w:ascii="宋体" w:hAnsi="宋体" w:eastAsia="宋体" w:cs="宋体"/>
                <w:color w:val="auto"/>
                <w:lang w:eastAsia="zh-CN"/>
              </w:rPr>
              <w:t>口是</w:t>
            </w:r>
          </w:p>
          <w:p w14:paraId="371D8051">
            <w:pPr>
              <w:tabs>
                <w:tab w:val="left" w:pos="8491"/>
              </w:tabs>
              <w:spacing w:line="240" w:lineRule="auto"/>
              <w:jc w:val="both"/>
              <w:rPr>
                <w:color w:val="auto"/>
                <w:lang w:eastAsia="zh-CN"/>
              </w:rPr>
            </w:pPr>
            <w:r>
              <w:rPr>
                <w:rFonts w:hint="eastAsia" w:ascii="宋体" w:hAnsi="宋体" w:eastAsia="宋体" w:cs="宋体"/>
                <w:color w:val="auto"/>
                <w:lang w:eastAsia="zh-CN"/>
              </w:rPr>
              <w:t>口否</w:t>
            </w:r>
          </w:p>
        </w:tc>
        <w:tc>
          <w:tcPr>
            <w:tcW w:w="1201" w:type="dxa"/>
          </w:tcPr>
          <w:p w14:paraId="45BE3F53">
            <w:pPr>
              <w:tabs>
                <w:tab w:val="left" w:pos="8491"/>
              </w:tabs>
              <w:spacing w:line="240" w:lineRule="auto"/>
              <w:jc w:val="both"/>
              <w:rPr>
                <w:color w:val="auto"/>
                <w:lang w:eastAsia="zh-CN"/>
              </w:rPr>
            </w:pPr>
          </w:p>
        </w:tc>
        <w:tc>
          <w:tcPr>
            <w:tcW w:w="1202" w:type="dxa"/>
          </w:tcPr>
          <w:p w14:paraId="007483FB">
            <w:pPr>
              <w:tabs>
                <w:tab w:val="left" w:pos="8491"/>
              </w:tabs>
              <w:spacing w:line="240" w:lineRule="auto"/>
              <w:jc w:val="both"/>
              <w:rPr>
                <w:color w:val="auto"/>
                <w:lang w:eastAsia="zh-CN"/>
              </w:rPr>
            </w:pPr>
          </w:p>
        </w:tc>
        <w:tc>
          <w:tcPr>
            <w:tcW w:w="1202" w:type="dxa"/>
          </w:tcPr>
          <w:p w14:paraId="59AEBFEE">
            <w:pPr>
              <w:tabs>
                <w:tab w:val="left" w:pos="8491"/>
              </w:tabs>
              <w:spacing w:line="240" w:lineRule="auto"/>
              <w:jc w:val="both"/>
              <w:rPr>
                <w:color w:val="auto"/>
                <w:lang w:eastAsia="zh-CN"/>
              </w:rPr>
            </w:pPr>
            <w:r>
              <w:rPr>
                <w:rFonts w:hint="eastAsia" w:ascii="宋体" w:hAnsi="宋体" w:eastAsia="宋体" w:cs="宋体"/>
                <w:color w:val="auto"/>
                <w:lang w:eastAsia="zh-CN"/>
              </w:rPr>
              <w:t>口是</w:t>
            </w:r>
          </w:p>
          <w:p w14:paraId="02837C9F">
            <w:pPr>
              <w:tabs>
                <w:tab w:val="left" w:pos="8491"/>
              </w:tabs>
              <w:spacing w:line="240" w:lineRule="auto"/>
              <w:jc w:val="both"/>
              <w:rPr>
                <w:color w:val="auto"/>
                <w:lang w:eastAsia="zh-CN"/>
              </w:rPr>
            </w:pPr>
            <w:r>
              <w:rPr>
                <w:rFonts w:hint="eastAsia" w:ascii="宋体" w:hAnsi="宋体" w:eastAsia="宋体" w:cs="宋体"/>
                <w:color w:val="auto"/>
                <w:lang w:eastAsia="zh-CN"/>
              </w:rPr>
              <w:t>口否</w:t>
            </w:r>
          </w:p>
        </w:tc>
        <w:tc>
          <w:tcPr>
            <w:tcW w:w="1202" w:type="dxa"/>
          </w:tcPr>
          <w:p w14:paraId="5F832F0A">
            <w:pPr>
              <w:tabs>
                <w:tab w:val="left" w:pos="8491"/>
              </w:tabs>
              <w:spacing w:line="240" w:lineRule="auto"/>
              <w:jc w:val="both"/>
              <w:rPr>
                <w:color w:val="auto"/>
                <w:lang w:eastAsia="zh-CN"/>
              </w:rPr>
            </w:pPr>
          </w:p>
        </w:tc>
      </w:tr>
      <w:tr w14:paraId="1A7DD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1201" w:type="dxa"/>
          </w:tcPr>
          <w:p w14:paraId="7D952C8D">
            <w:pPr>
              <w:tabs>
                <w:tab w:val="left" w:pos="8491"/>
              </w:tabs>
              <w:spacing w:line="240" w:lineRule="auto"/>
              <w:jc w:val="both"/>
              <w:rPr>
                <w:color w:val="auto"/>
                <w:lang w:eastAsia="zh-CN"/>
              </w:rPr>
            </w:pPr>
            <w:r>
              <w:rPr>
                <w:color w:val="auto"/>
                <w:lang w:eastAsia="zh-CN"/>
              </w:rPr>
              <w:t>6</w:t>
            </w:r>
          </w:p>
        </w:tc>
        <w:tc>
          <w:tcPr>
            <w:tcW w:w="1201" w:type="dxa"/>
          </w:tcPr>
          <w:p w14:paraId="260DB557">
            <w:pPr>
              <w:tabs>
                <w:tab w:val="left" w:pos="8491"/>
              </w:tabs>
              <w:spacing w:line="240" w:lineRule="auto"/>
              <w:jc w:val="both"/>
              <w:rPr>
                <w:color w:val="auto"/>
                <w:lang w:eastAsia="zh-CN"/>
              </w:rPr>
            </w:pPr>
          </w:p>
        </w:tc>
        <w:tc>
          <w:tcPr>
            <w:tcW w:w="1201" w:type="dxa"/>
          </w:tcPr>
          <w:p w14:paraId="3F58921A">
            <w:pPr>
              <w:tabs>
                <w:tab w:val="left" w:pos="8491"/>
              </w:tabs>
              <w:spacing w:line="240" w:lineRule="auto"/>
              <w:jc w:val="both"/>
              <w:rPr>
                <w:color w:val="auto"/>
                <w:lang w:eastAsia="zh-CN"/>
              </w:rPr>
            </w:pPr>
          </w:p>
        </w:tc>
        <w:tc>
          <w:tcPr>
            <w:tcW w:w="1201" w:type="dxa"/>
          </w:tcPr>
          <w:p w14:paraId="4ABB60C5">
            <w:pPr>
              <w:tabs>
                <w:tab w:val="left" w:pos="8491"/>
              </w:tabs>
              <w:spacing w:line="240" w:lineRule="auto"/>
              <w:jc w:val="both"/>
              <w:rPr>
                <w:color w:val="auto"/>
                <w:lang w:eastAsia="zh-CN"/>
              </w:rPr>
            </w:pPr>
            <w:r>
              <w:rPr>
                <w:rFonts w:hint="eastAsia" w:ascii="宋体" w:hAnsi="宋体" w:eastAsia="宋体" w:cs="宋体"/>
                <w:color w:val="auto"/>
                <w:lang w:eastAsia="zh-CN"/>
              </w:rPr>
              <w:t>口是</w:t>
            </w:r>
          </w:p>
          <w:p w14:paraId="63723B58">
            <w:pPr>
              <w:tabs>
                <w:tab w:val="left" w:pos="8491"/>
              </w:tabs>
              <w:spacing w:line="240" w:lineRule="auto"/>
              <w:jc w:val="both"/>
              <w:rPr>
                <w:color w:val="auto"/>
                <w:lang w:eastAsia="zh-CN"/>
              </w:rPr>
            </w:pPr>
            <w:r>
              <w:rPr>
                <w:rFonts w:hint="eastAsia" w:ascii="宋体" w:hAnsi="宋体" w:eastAsia="宋体" w:cs="宋体"/>
                <w:color w:val="auto"/>
                <w:lang w:eastAsia="zh-CN"/>
              </w:rPr>
              <w:t>口否</w:t>
            </w:r>
          </w:p>
        </w:tc>
        <w:tc>
          <w:tcPr>
            <w:tcW w:w="1201" w:type="dxa"/>
          </w:tcPr>
          <w:p w14:paraId="4C28993C">
            <w:pPr>
              <w:tabs>
                <w:tab w:val="left" w:pos="8491"/>
              </w:tabs>
              <w:spacing w:line="240" w:lineRule="auto"/>
              <w:jc w:val="both"/>
              <w:rPr>
                <w:color w:val="auto"/>
                <w:lang w:eastAsia="zh-CN"/>
              </w:rPr>
            </w:pPr>
          </w:p>
        </w:tc>
        <w:tc>
          <w:tcPr>
            <w:tcW w:w="1202" w:type="dxa"/>
          </w:tcPr>
          <w:p w14:paraId="15266CA3">
            <w:pPr>
              <w:tabs>
                <w:tab w:val="left" w:pos="8491"/>
              </w:tabs>
              <w:spacing w:line="240" w:lineRule="auto"/>
              <w:jc w:val="both"/>
              <w:rPr>
                <w:color w:val="auto"/>
                <w:lang w:eastAsia="zh-CN"/>
              </w:rPr>
            </w:pPr>
          </w:p>
        </w:tc>
        <w:tc>
          <w:tcPr>
            <w:tcW w:w="1202" w:type="dxa"/>
          </w:tcPr>
          <w:p w14:paraId="395E2E6A">
            <w:pPr>
              <w:tabs>
                <w:tab w:val="left" w:pos="8491"/>
              </w:tabs>
              <w:spacing w:line="240" w:lineRule="auto"/>
              <w:jc w:val="both"/>
              <w:rPr>
                <w:color w:val="auto"/>
                <w:lang w:eastAsia="zh-CN"/>
              </w:rPr>
            </w:pPr>
            <w:r>
              <w:rPr>
                <w:rFonts w:hint="eastAsia" w:ascii="宋体" w:hAnsi="宋体" w:eastAsia="宋体" w:cs="宋体"/>
                <w:color w:val="auto"/>
                <w:lang w:eastAsia="zh-CN"/>
              </w:rPr>
              <w:t>口是</w:t>
            </w:r>
          </w:p>
          <w:p w14:paraId="08F4BACB">
            <w:pPr>
              <w:tabs>
                <w:tab w:val="left" w:pos="8491"/>
              </w:tabs>
              <w:spacing w:line="240" w:lineRule="auto"/>
              <w:jc w:val="both"/>
              <w:rPr>
                <w:color w:val="auto"/>
                <w:lang w:eastAsia="zh-CN"/>
              </w:rPr>
            </w:pPr>
            <w:r>
              <w:rPr>
                <w:rFonts w:hint="eastAsia" w:ascii="宋体" w:hAnsi="宋体" w:eastAsia="宋体" w:cs="宋体"/>
                <w:color w:val="auto"/>
                <w:lang w:eastAsia="zh-CN"/>
              </w:rPr>
              <w:t>口否</w:t>
            </w:r>
          </w:p>
        </w:tc>
        <w:tc>
          <w:tcPr>
            <w:tcW w:w="1202" w:type="dxa"/>
          </w:tcPr>
          <w:p w14:paraId="30669133">
            <w:pPr>
              <w:tabs>
                <w:tab w:val="left" w:pos="8491"/>
              </w:tabs>
              <w:spacing w:line="240" w:lineRule="auto"/>
              <w:jc w:val="both"/>
              <w:rPr>
                <w:color w:val="auto"/>
                <w:lang w:eastAsia="zh-CN"/>
              </w:rPr>
            </w:pPr>
          </w:p>
        </w:tc>
      </w:tr>
      <w:tr w14:paraId="4168A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01" w:type="dxa"/>
          </w:tcPr>
          <w:p w14:paraId="4F537CC9">
            <w:pPr>
              <w:tabs>
                <w:tab w:val="left" w:pos="8491"/>
              </w:tabs>
              <w:spacing w:line="240" w:lineRule="auto"/>
              <w:jc w:val="both"/>
              <w:rPr>
                <w:color w:val="auto"/>
                <w:lang w:eastAsia="zh-CN"/>
              </w:rPr>
            </w:pPr>
            <w:r>
              <w:rPr>
                <w:rFonts w:hint="eastAsia" w:ascii="宋体" w:hAnsi="宋体" w:eastAsia="宋体" w:cs="宋体"/>
                <w:color w:val="auto"/>
                <w:lang w:eastAsia="zh-CN"/>
              </w:rPr>
              <w:t>食品安全员《签字</w:t>
            </w:r>
            <w:r>
              <w:rPr>
                <w:color w:val="auto"/>
                <w:lang w:eastAsia="zh-CN"/>
              </w:rPr>
              <w:t>)</w:t>
            </w:r>
          </w:p>
        </w:tc>
        <w:tc>
          <w:tcPr>
            <w:tcW w:w="8410" w:type="dxa"/>
            <w:gridSpan w:val="7"/>
          </w:tcPr>
          <w:p w14:paraId="6763763F">
            <w:pPr>
              <w:tabs>
                <w:tab w:val="left" w:pos="8491"/>
              </w:tabs>
              <w:spacing w:line="240" w:lineRule="auto"/>
              <w:jc w:val="both"/>
              <w:rPr>
                <w:color w:val="auto"/>
                <w:lang w:eastAsia="zh-CN"/>
              </w:rPr>
            </w:pPr>
          </w:p>
        </w:tc>
      </w:tr>
      <w:tr w14:paraId="3BA7C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1" w:type="dxa"/>
          </w:tcPr>
          <w:p w14:paraId="734DA03C">
            <w:pPr>
              <w:tabs>
                <w:tab w:val="left" w:pos="8491"/>
              </w:tabs>
              <w:spacing w:line="240" w:lineRule="auto"/>
              <w:jc w:val="both"/>
              <w:rPr>
                <w:color w:val="auto"/>
                <w:lang w:eastAsia="zh-CN"/>
              </w:rPr>
            </w:pPr>
            <w:r>
              <w:rPr>
                <w:rFonts w:hint="eastAsia" w:ascii="宋体" w:hAnsi="宋体" w:eastAsia="宋体" w:cs="宋体"/>
                <w:color w:val="auto"/>
                <w:lang w:eastAsia="zh-CN"/>
              </w:rPr>
              <w:t>食品安全总监意见</w:t>
            </w:r>
          </w:p>
          <w:p w14:paraId="23C974B8">
            <w:pPr>
              <w:tabs>
                <w:tab w:val="left" w:pos="8491"/>
              </w:tabs>
              <w:spacing w:line="240" w:lineRule="auto"/>
              <w:jc w:val="both"/>
              <w:rPr>
                <w:color w:val="auto"/>
                <w:lang w:eastAsia="zh-CN"/>
              </w:rPr>
            </w:pPr>
          </w:p>
        </w:tc>
        <w:tc>
          <w:tcPr>
            <w:tcW w:w="8410" w:type="dxa"/>
            <w:gridSpan w:val="7"/>
          </w:tcPr>
          <w:p w14:paraId="348C8896">
            <w:pPr>
              <w:tabs>
                <w:tab w:val="left" w:pos="8491"/>
              </w:tabs>
              <w:spacing w:line="240" w:lineRule="auto"/>
              <w:jc w:val="both"/>
              <w:rPr>
                <w:color w:val="auto"/>
                <w:lang w:eastAsia="zh-CN"/>
              </w:rPr>
            </w:pPr>
            <w:r>
              <w:rPr>
                <w:rFonts w:hint="eastAsia" w:ascii="宋体" w:hAnsi="宋体" w:eastAsia="宋体" w:cs="宋体"/>
                <w:color w:val="auto"/>
                <w:lang w:eastAsia="zh-CN"/>
              </w:rPr>
              <w:t>食品安全总监《签字</w:t>
            </w:r>
            <w:r>
              <w:rPr>
                <w:color w:val="auto"/>
                <w:lang w:eastAsia="zh-CN"/>
              </w:rPr>
              <w:t>):</w:t>
            </w:r>
          </w:p>
          <w:p w14:paraId="4FA95A16">
            <w:pPr>
              <w:tabs>
                <w:tab w:val="left" w:pos="8491"/>
              </w:tabs>
              <w:spacing w:line="240" w:lineRule="auto"/>
              <w:jc w:val="both"/>
              <w:rPr>
                <w:color w:val="auto"/>
                <w:lang w:eastAsia="zh-CN"/>
              </w:rPr>
            </w:pPr>
          </w:p>
        </w:tc>
      </w:tr>
    </w:tbl>
    <w:p w14:paraId="4E7DB132">
      <w:pPr>
        <w:tabs>
          <w:tab w:val="left" w:pos="8491"/>
        </w:tabs>
        <w:spacing w:line="360" w:lineRule="auto"/>
        <w:rPr>
          <w:color w:val="auto"/>
          <w:lang w:eastAsia="zh-CN"/>
        </w:rPr>
      </w:pPr>
    </w:p>
    <w:p w14:paraId="38BA6519">
      <w:pPr>
        <w:tabs>
          <w:tab w:val="left" w:pos="8491"/>
        </w:tabs>
        <w:spacing w:line="360" w:lineRule="auto"/>
        <w:jc w:val="center"/>
        <w:rPr>
          <w:rFonts w:ascii="宋体" w:hAnsi="宋体" w:eastAsia="宋体" w:cs="宋体"/>
          <w:b/>
          <w:bCs/>
          <w:color w:val="auto"/>
          <w:sz w:val="32"/>
          <w:szCs w:val="32"/>
          <w:lang w:eastAsia="zh-CN"/>
        </w:rPr>
      </w:pPr>
    </w:p>
    <w:p w14:paraId="62AF6D7C">
      <w:pPr>
        <w:tabs>
          <w:tab w:val="left" w:pos="8491"/>
        </w:tabs>
        <w:spacing w:line="360" w:lineRule="auto"/>
        <w:jc w:val="center"/>
        <w:rPr>
          <w:rFonts w:ascii="宋体" w:hAnsi="宋体" w:eastAsia="宋体" w:cs="宋体"/>
          <w:b/>
          <w:bCs/>
          <w:color w:val="auto"/>
          <w:sz w:val="32"/>
          <w:szCs w:val="32"/>
          <w:lang w:eastAsia="zh-CN"/>
        </w:rPr>
      </w:pPr>
    </w:p>
    <w:p w14:paraId="7EB51640">
      <w:pPr>
        <w:tabs>
          <w:tab w:val="left" w:pos="8491"/>
        </w:tabs>
        <w:spacing w:line="360" w:lineRule="auto"/>
        <w:jc w:val="center"/>
        <w:rPr>
          <w:rFonts w:ascii="宋体" w:hAnsi="宋体" w:eastAsia="宋体" w:cs="宋体"/>
          <w:b/>
          <w:bCs/>
          <w:color w:val="auto"/>
          <w:sz w:val="32"/>
          <w:szCs w:val="32"/>
          <w:lang w:eastAsia="zh-CN"/>
        </w:rPr>
      </w:pPr>
    </w:p>
    <w:p w14:paraId="5D05FFA5">
      <w:pPr>
        <w:tabs>
          <w:tab w:val="left" w:pos="8491"/>
        </w:tabs>
        <w:spacing w:line="360" w:lineRule="auto"/>
        <w:jc w:val="center"/>
        <w:rPr>
          <w:b/>
          <w:bCs/>
          <w:color w:val="auto"/>
          <w:sz w:val="32"/>
          <w:szCs w:val="32"/>
          <w:lang w:eastAsia="zh-CN"/>
        </w:rPr>
      </w:pPr>
      <w:r>
        <w:rPr>
          <w:rFonts w:hint="eastAsia" w:ascii="宋体" w:hAnsi="宋体" w:eastAsia="宋体" w:cs="宋体"/>
          <w:b/>
          <w:bCs/>
          <w:color w:val="auto"/>
          <w:sz w:val="32"/>
          <w:szCs w:val="32"/>
          <w:lang w:eastAsia="zh-CN"/>
        </w:rPr>
        <w:t>每周食品安全排查制理报告样式</w:t>
      </w:r>
    </w:p>
    <w:p w14:paraId="7818723A">
      <w:pPr>
        <w:tabs>
          <w:tab w:val="left" w:pos="8491"/>
        </w:tabs>
        <w:spacing w:line="360" w:lineRule="auto"/>
        <w:jc w:val="center"/>
        <w:rPr>
          <w:color w:val="auto"/>
          <w:lang w:eastAsia="zh-CN"/>
        </w:rPr>
      </w:pPr>
      <w:r>
        <w:rPr>
          <w:color w:val="auto"/>
          <w:lang w:eastAsia="zh-CN"/>
        </w:rPr>
        <w:t xml:space="preserve">( </w:t>
      </w:r>
      <w:r>
        <w:rPr>
          <w:rFonts w:hint="eastAsia" w:ascii="宋体" w:hAnsi="宋体" w:eastAsia="宋体" w:cs="宋体"/>
          <w:color w:val="auto"/>
          <w:lang w:eastAsia="zh-CN"/>
        </w:rPr>
        <w:t>风险管控清单版本号</w:t>
      </w:r>
      <w:r>
        <w:rPr>
          <w:color w:val="auto"/>
          <w:lang w:eastAsia="zh-CN"/>
        </w:rPr>
        <w:t>:</w:t>
      </w:r>
      <w:r>
        <w:rPr>
          <w:color w:val="auto"/>
          <w:u w:val="single"/>
          <w:lang w:eastAsia="zh-CN"/>
        </w:rPr>
        <w:t xml:space="preserve">          </w:t>
      </w:r>
      <w:r>
        <w:rPr>
          <w:rFonts w:hint="eastAsia" w:ascii="宋体" w:hAnsi="宋体" w:eastAsia="宋体" w:cs="宋体"/>
          <w:color w:val="auto"/>
          <w:lang w:eastAsia="zh-CN"/>
        </w:rPr>
        <w:t>）</w:t>
      </w:r>
    </w:p>
    <w:p w14:paraId="23FEB4F4">
      <w:pPr>
        <w:tabs>
          <w:tab w:val="left" w:pos="8491"/>
        </w:tabs>
        <w:spacing w:line="360" w:lineRule="auto"/>
        <w:rPr>
          <w:color w:val="auto"/>
          <w:lang w:eastAsia="zh-CN"/>
        </w:rPr>
      </w:pPr>
    </w:p>
    <w:p w14:paraId="1EB728CF">
      <w:pPr>
        <w:tabs>
          <w:tab w:val="left" w:pos="8491"/>
        </w:tabs>
        <w:spacing w:line="360" w:lineRule="auto"/>
        <w:rPr>
          <w:color w:val="auto"/>
          <w:lang w:eastAsia="zh-CN"/>
        </w:rPr>
      </w:pPr>
      <w:r>
        <w:rPr>
          <w:rFonts w:hint="eastAsia" w:ascii="宋体" w:hAnsi="宋体" w:eastAsia="宋体" w:cs="宋体"/>
          <w:color w:val="auto"/>
          <w:lang w:eastAsia="zh-CN"/>
        </w:rPr>
        <w:t>排查日期</w:t>
      </w:r>
      <w:r>
        <w:rPr>
          <w:color w:val="auto"/>
          <w:lang w:eastAsia="zh-CN"/>
        </w:rPr>
        <w:t xml:space="preserve">:                                           </w:t>
      </w:r>
      <w:r>
        <w:rPr>
          <w:rFonts w:hint="eastAsia" w:ascii="宋体" w:hAnsi="宋体" w:eastAsia="宋体" w:cs="宋体"/>
          <w:color w:val="auto"/>
          <w:lang w:eastAsia="zh-CN"/>
        </w:rPr>
        <w:t>报告编号</w:t>
      </w:r>
      <w:r>
        <w:rPr>
          <w:color w:val="auto"/>
          <w:lang w:eastAsia="zh-CN"/>
        </w:rPr>
        <w:t>:</w:t>
      </w:r>
    </w:p>
    <w:p w14:paraId="4AC41462">
      <w:pPr>
        <w:tabs>
          <w:tab w:val="left" w:pos="8491"/>
        </w:tabs>
        <w:spacing w:line="360" w:lineRule="auto"/>
        <w:rPr>
          <w:color w:val="auto"/>
          <w:lang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58"/>
        <w:gridCol w:w="2849"/>
        <w:gridCol w:w="2818"/>
      </w:tblGrid>
      <w:tr w14:paraId="0A92B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2" w:hRule="atLeast"/>
        </w:trPr>
        <w:tc>
          <w:tcPr>
            <w:tcW w:w="3203" w:type="dxa"/>
            <w:vAlign w:val="center"/>
          </w:tcPr>
          <w:p w14:paraId="260E3D2C">
            <w:pPr>
              <w:tabs>
                <w:tab w:val="left" w:pos="8491"/>
              </w:tabs>
              <w:spacing w:line="240" w:lineRule="auto"/>
              <w:jc w:val="center"/>
              <w:rPr>
                <w:color w:val="auto"/>
                <w:lang w:eastAsia="zh-CN"/>
              </w:rPr>
            </w:pPr>
            <w:r>
              <w:rPr>
                <w:rFonts w:hint="eastAsia" w:ascii="宋体" w:hAnsi="宋体" w:eastAsia="宋体" w:cs="宋体"/>
                <w:color w:val="auto"/>
                <w:lang w:eastAsia="zh-CN"/>
              </w:rPr>
              <w:t>排查覆盖日管控日期范围</w:t>
            </w:r>
          </w:p>
        </w:tc>
        <w:tc>
          <w:tcPr>
            <w:tcW w:w="6408" w:type="dxa"/>
            <w:gridSpan w:val="2"/>
            <w:vAlign w:val="center"/>
          </w:tcPr>
          <w:p w14:paraId="23F64BC0">
            <w:pPr>
              <w:tabs>
                <w:tab w:val="left" w:pos="8491"/>
              </w:tabs>
              <w:spacing w:line="240" w:lineRule="auto"/>
              <w:jc w:val="center"/>
              <w:rPr>
                <w:color w:val="auto"/>
                <w:lang w:eastAsia="zh-CN"/>
              </w:rPr>
            </w:pPr>
          </w:p>
        </w:tc>
      </w:tr>
      <w:tr w14:paraId="24685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atLeast"/>
        </w:trPr>
        <w:tc>
          <w:tcPr>
            <w:tcW w:w="3203" w:type="dxa"/>
            <w:vAlign w:val="center"/>
          </w:tcPr>
          <w:p w14:paraId="61B73559">
            <w:pPr>
              <w:tabs>
                <w:tab w:val="left" w:pos="8491"/>
              </w:tabs>
              <w:spacing w:line="240" w:lineRule="auto"/>
              <w:jc w:val="center"/>
              <w:rPr>
                <w:color w:val="auto"/>
                <w:lang w:eastAsia="zh-CN"/>
              </w:rPr>
            </w:pPr>
            <w:r>
              <w:rPr>
                <w:rFonts w:hint="eastAsia" w:ascii="宋体" w:hAnsi="宋体" w:eastAsia="宋体" w:cs="宋体"/>
                <w:color w:val="auto"/>
                <w:lang w:eastAsia="zh-CN"/>
              </w:rPr>
              <w:t>上周回顾</w:t>
            </w:r>
          </w:p>
          <w:p w14:paraId="2BFEBA58">
            <w:pPr>
              <w:tabs>
                <w:tab w:val="left" w:pos="8491"/>
              </w:tabs>
              <w:spacing w:line="240" w:lineRule="auto"/>
              <w:jc w:val="center"/>
              <w:rPr>
                <w:color w:val="auto"/>
                <w:lang w:eastAsia="zh-CN"/>
              </w:rPr>
            </w:pPr>
          </w:p>
        </w:tc>
        <w:tc>
          <w:tcPr>
            <w:tcW w:w="3204" w:type="dxa"/>
            <w:vAlign w:val="center"/>
          </w:tcPr>
          <w:p w14:paraId="5488BB6D">
            <w:pPr>
              <w:tabs>
                <w:tab w:val="left" w:pos="8491"/>
              </w:tabs>
              <w:spacing w:line="240" w:lineRule="auto"/>
              <w:jc w:val="center"/>
              <w:rPr>
                <w:color w:val="auto"/>
                <w:lang w:eastAsia="zh-CN"/>
              </w:rPr>
            </w:pPr>
            <w:r>
              <w:rPr>
                <w:rFonts w:hint="eastAsia" w:ascii="宋体" w:hAnsi="宋体" w:eastAsia="宋体" w:cs="宋体"/>
                <w:color w:val="auto"/>
                <w:lang w:eastAsia="zh-CN"/>
              </w:rPr>
              <w:t>上周整改措施落实情况</w:t>
            </w:r>
          </w:p>
          <w:p w14:paraId="04262370">
            <w:pPr>
              <w:tabs>
                <w:tab w:val="left" w:pos="8491"/>
              </w:tabs>
              <w:spacing w:line="240" w:lineRule="auto"/>
              <w:jc w:val="center"/>
              <w:rPr>
                <w:color w:val="auto"/>
                <w:lang w:eastAsia="zh-CN"/>
              </w:rPr>
            </w:pPr>
          </w:p>
        </w:tc>
        <w:tc>
          <w:tcPr>
            <w:tcW w:w="3204" w:type="dxa"/>
            <w:vAlign w:val="center"/>
          </w:tcPr>
          <w:p w14:paraId="5A68D5E1">
            <w:pPr>
              <w:tabs>
                <w:tab w:val="left" w:pos="8491"/>
              </w:tabs>
              <w:spacing w:line="240" w:lineRule="auto"/>
              <w:jc w:val="center"/>
              <w:rPr>
                <w:color w:val="auto"/>
                <w:lang w:eastAsia="zh-CN"/>
              </w:rPr>
            </w:pPr>
          </w:p>
        </w:tc>
      </w:tr>
      <w:tr w14:paraId="214D1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tcW w:w="3203" w:type="dxa"/>
            <w:vMerge w:val="restart"/>
            <w:vAlign w:val="center"/>
          </w:tcPr>
          <w:p w14:paraId="35F8105F">
            <w:pPr>
              <w:tabs>
                <w:tab w:val="left" w:pos="8491"/>
              </w:tabs>
              <w:spacing w:line="240" w:lineRule="auto"/>
              <w:jc w:val="center"/>
              <w:rPr>
                <w:color w:val="auto"/>
                <w:lang w:eastAsia="zh-CN"/>
              </w:rPr>
            </w:pPr>
            <w:r>
              <w:rPr>
                <w:rFonts w:hint="eastAsia" w:ascii="宋体" w:hAnsi="宋体" w:eastAsia="宋体" w:cs="宋体"/>
                <w:color w:val="auto"/>
                <w:lang w:eastAsia="zh-CN"/>
              </w:rPr>
              <w:t>本周排查</w:t>
            </w:r>
          </w:p>
          <w:p w14:paraId="4103246C">
            <w:pPr>
              <w:tabs>
                <w:tab w:val="left" w:pos="8491"/>
              </w:tabs>
              <w:spacing w:line="240" w:lineRule="auto"/>
              <w:jc w:val="center"/>
              <w:rPr>
                <w:color w:val="auto"/>
                <w:lang w:eastAsia="zh-CN"/>
              </w:rPr>
            </w:pPr>
          </w:p>
        </w:tc>
        <w:tc>
          <w:tcPr>
            <w:tcW w:w="3204" w:type="dxa"/>
            <w:vAlign w:val="center"/>
          </w:tcPr>
          <w:p w14:paraId="2E500D97">
            <w:pPr>
              <w:tabs>
                <w:tab w:val="left" w:pos="8491"/>
              </w:tabs>
              <w:spacing w:line="240" w:lineRule="auto"/>
              <w:jc w:val="center"/>
              <w:rPr>
                <w:color w:val="auto"/>
                <w:lang w:eastAsia="zh-CN"/>
              </w:rPr>
            </w:pPr>
            <w:r>
              <w:rPr>
                <w:rFonts w:hint="eastAsia" w:ascii="宋体" w:hAnsi="宋体" w:eastAsia="宋体" w:cs="宋体"/>
                <w:color w:val="auto"/>
                <w:lang w:eastAsia="zh-CN"/>
              </w:rPr>
              <w:t>日管控发现的问题及解决方法</w:t>
            </w:r>
          </w:p>
          <w:p w14:paraId="0B8E6756">
            <w:pPr>
              <w:tabs>
                <w:tab w:val="left" w:pos="8491"/>
              </w:tabs>
              <w:spacing w:line="240" w:lineRule="auto"/>
              <w:jc w:val="center"/>
              <w:rPr>
                <w:color w:val="auto"/>
                <w:lang w:eastAsia="zh-CN"/>
              </w:rPr>
            </w:pPr>
          </w:p>
        </w:tc>
        <w:tc>
          <w:tcPr>
            <w:tcW w:w="3204" w:type="dxa"/>
            <w:vAlign w:val="center"/>
          </w:tcPr>
          <w:p w14:paraId="4228187F">
            <w:pPr>
              <w:tabs>
                <w:tab w:val="left" w:pos="8491"/>
              </w:tabs>
              <w:spacing w:line="240" w:lineRule="auto"/>
              <w:jc w:val="center"/>
              <w:rPr>
                <w:color w:val="auto"/>
                <w:lang w:eastAsia="zh-CN"/>
              </w:rPr>
            </w:pPr>
          </w:p>
        </w:tc>
      </w:tr>
      <w:tr w14:paraId="77AE7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trPr>
        <w:tc>
          <w:tcPr>
            <w:tcW w:w="3203" w:type="dxa"/>
            <w:vMerge w:val="continue"/>
            <w:vAlign w:val="center"/>
          </w:tcPr>
          <w:p w14:paraId="4CCCCFF3">
            <w:pPr>
              <w:tabs>
                <w:tab w:val="left" w:pos="8491"/>
              </w:tabs>
              <w:spacing w:line="240" w:lineRule="auto"/>
              <w:jc w:val="center"/>
              <w:rPr>
                <w:color w:val="auto"/>
                <w:lang w:eastAsia="zh-CN"/>
              </w:rPr>
            </w:pPr>
          </w:p>
        </w:tc>
        <w:tc>
          <w:tcPr>
            <w:tcW w:w="3204" w:type="dxa"/>
            <w:vAlign w:val="center"/>
          </w:tcPr>
          <w:p w14:paraId="6999D48A">
            <w:pPr>
              <w:tabs>
                <w:tab w:val="left" w:pos="8491"/>
              </w:tabs>
              <w:spacing w:line="240" w:lineRule="auto"/>
              <w:jc w:val="center"/>
              <w:rPr>
                <w:color w:val="auto"/>
                <w:lang w:eastAsia="zh-CN"/>
              </w:rPr>
            </w:pPr>
            <w:r>
              <w:rPr>
                <w:rFonts w:hint="eastAsia" w:ascii="宋体" w:hAnsi="宋体" w:eastAsia="宋体" w:cs="宋体"/>
                <w:color w:val="auto"/>
                <w:lang w:eastAsia="zh-CN"/>
              </w:rPr>
              <w:t>其他食品安全风险信息</w:t>
            </w:r>
          </w:p>
          <w:p w14:paraId="536E42D1">
            <w:pPr>
              <w:tabs>
                <w:tab w:val="left" w:pos="8491"/>
              </w:tabs>
              <w:spacing w:line="240" w:lineRule="auto"/>
              <w:jc w:val="center"/>
              <w:rPr>
                <w:color w:val="auto"/>
                <w:lang w:eastAsia="zh-CN"/>
              </w:rPr>
            </w:pPr>
          </w:p>
        </w:tc>
        <w:tc>
          <w:tcPr>
            <w:tcW w:w="3204" w:type="dxa"/>
            <w:vAlign w:val="center"/>
          </w:tcPr>
          <w:p w14:paraId="1B3F6EAD">
            <w:pPr>
              <w:tabs>
                <w:tab w:val="left" w:pos="8491"/>
              </w:tabs>
              <w:spacing w:line="240" w:lineRule="auto"/>
              <w:jc w:val="center"/>
              <w:rPr>
                <w:color w:val="auto"/>
                <w:lang w:eastAsia="zh-CN"/>
              </w:rPr>
            </w:pPr>
          </w:p>
        </w:tc>
      </w:tr>
      <w:tr w14:paraId="6365A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trPr>
        <w:tc>
          <w:tcPr>
            <w:tcW w:w="3203" w:type="dxa"/>
            <w:vMerge w:val="continue"/>
            <w:vAlign w:val="center"/>
          </w:tcPr>
          <w:p w14:paraId="1A9393F9">
            <w:pPr>
              <w:tabs>
                <w:tab w:val="left" w:pos="8491"/>
              </w:tabs>
              <w:spacing w:line="240" w:lineRule="auto"/>
              <w:jc w:val="center"/>
              <w:rPr>
                <w:color w:val="auto"/>
                <w:lang w:eastAsia="zh-CN"/>
              </w:rPr>
            </w:pPr>
          </w:p>
        </w:tc>
        <w:tc>
          <w:tcPr>
            <w:tcW w:w="3204" w:type="dxa"/>
            <w:vAlign w:val="center"/>
          </w:tcPr>
          <w:p w14:paraId="1AD81C5F">
            <w:pPr>
              <w:tabs>
                <w:tab w:val="left" w:pos="8491"/>
              </w:tabs>
              <w:spacing w:line="240" w:lineRule="auto"/>
              <w:jc w:val="center"/>
              <w:rPr>
                <w:color w:val="auto"/>
                <w:lang w:eastAsia="zh-CN"/>
              </w:rPr>
            </w:pPr>
            <w:r>
              <w:rPr>
                <w:rFonts w:hint="eastAsia" w:ascii="宋体" w:hAnsi="宋体" w:eastAsia="宋体" w:cs="宋体"/>
                <w:color w:val="auto"/>
                <w:lang w:eastAsia="zh-CN"/>
              </w:rPr>
              <w:t>原因分析</w:t>
            </w:r>
          </w:p>
        </w:tc>
        <w:tc>
          <w:tcPr>
            <w:tcW w:w="3204" w:type="dxa"/>
            <w:vAlign w:val="center"/>
          </w:tcPr>
          <w:p w14:paraId="090AA1FC">
            <w:pPr>
              <w:tabs>
                <w:tab w:val="left" w:pos="8491"/>
              </w:tabs>
              <w:spacing w:line="240" w:lineRule="auto"/>
              <w:jc w:val="center"/>
              <w:rPr>
                <w:color w:val="auto"/>
                <w:lang w:eastAsia="zh-CN"/>
              </w:rPr>
            </w:pPr>
          </w:p>
        </w:tc>
      </w:tr>
      <w:tr w14:paraId="22B85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2" w:hRule="atLeast"/>
        </w:trPr>
        <w:tc>
          <w:tcPr>
            <w:tcW w:w="3203" w:type="dxa"/>
            <w:vAlign w:val="center"/>
          </w:tcPr>
          <w:p w14:paraId="6E332C93">
            <w:pPr>
              <w:tabs>
                <w:tab w:val="left" w:pos="8491"/>
              </w:tabs>
              <w:spacing w:line="240" w:lineRule="auto"/>
              <w:jc w:val="center"/>
              <w:rPr>
                <w:color w:val="auto"/>
                <w:lang w:eastAsia="zh-CN"/>
              </w:rPr>
            </w:pPr>
            <w:r>
              <w:rPr>
                <w:rFonts w:hint="eastAsia" w:ascii="宋体" w:hAnsi="宋体" w:eastAsia="宋体" w:cs="宋体"/>
                <w:color w:val="auto"/>
                <w:lang w:eastAsia="zh-CN"/>
              </w:rPr>
              <w:t>备注</w:t>
            </w:r>
          </w:p>
          <w:p w14:paraId="1568AF45">
            <w:pPr>
              <w:tabs>
                <w:tab w:val="left" w:pos="8491"/>
              </w:tabs>
              <w:spacing w:line="240" w:lineRule="auto"/>
              <w:jc w:val="center"/>
              <w:rPr>
                <w:color w:val="auto"/>
                <w:lang w:eastAsia="zh-CN"/>
              </w:rPr>
            </w:pPr>
          </w:p>
        </w:tc>
        <w:tc>
          <w:tcPr>
            <w:tcW w:w="6408" w:type="dxa"/>
            <w:gridSpan w:val="2"/>
            <w:vAlign w:val="center"/>
          </w:tcPr>
          <w:p w14:paraId="582FFAC2">
            <w:pPr>
              <w:tabs>
                <w:tab w:val="left" w:pos="8491"/>
              </w:tabs>
              <w:spacing w:line="240" w:lineRule="auto"/>
              <w:jc w:val="center"/>
              <w:rPr>
                <w:color w:val="auto"/>
                <w:lang w:eastAsia="zh-CN"/>
              </w:rPr>
            </w:pPr>
          </w:p>
        </w:tc>
      </w:tr>
      <w:tr w14:paraId="5FEDD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1" w:hRule="atLeast"/>
        </w:trPr>
        <w:tc>
          <w:tcPr>
            <w:tcW w:w="3203" w:type="dxa"/>
            <w:vAlign w:val="center"/>
          </w:tcPr>
          <w:p w14:paraId="7E88266D">
            <w:pPr>
              <w:tabs>
                <w:tab w:val="left" w:pos="8491"/>
              </w:tabs>
              <w:spacing w:line="240" w:lineRule="auto"/>
              <w:jc w:val="center"/>
              <w:rPr>
                <w:color w:val="auto"/>
                <w:lang w:eastAsia="zh-CN"/>
              </w:rPr>
            </w:pPr>
            <w:r>
              <w:rPr>
                <w:rFonts w:hint="eastAsia" w:ascii="宋体" w:hAnsi="宋体" w:eastAsia="宋体" w:cs="宋体"/>
                <w:color w:val="auto"/>
                <w:lang w:eastAsia="zh-CN"/>
              </w:rPr>
              <w:t>参加人员</w:t>
            </w:r>
            <w:r>
              <w:rPr>
                <w:color w:val="auto"/>
                <w:lang w:eastAsia="zh-CN"/>
              </w:rPr>
              <w:t>(</w:t>
            </w:r>
            <w:r>
              <w:rPr>
                <w:rFonts w:hint="eastAsia" w:ascii="宋体" w:hAnsi="宋体" w:eastAsia="宋体" w:cs="宋体"/>
                <w:color w:val="auto"/>
                <w:lang w:eastAsia="zh-CN"/>
              </w:rPr>
              <w:t>签字</w:t>
            </w:r>
            <w:r>
              <w:rPr>
                <w:color w:val="auto"/>
                <w:lang w:eastAsia="zh-CN"/>
              </w:rPr>
              <w:t>)</w:t>
            </w:r>
          </w:p>
          <w:p w14:paraId="5DAD02FC">
            <w:pPr>
              <w:tabs>
                <w:tab w:val="left" w:pos="8491"/>
              </w:tabs>
              <w:spacing w:line="240" w:lineRule="auto"/>
              <w:jc w:val="center"/>
              <w:rPr>
                <w:color w:val="auto"/>
                <w:lang w:eastAsia="zh-CN"/>
              </w:rPr>
            </w:pPr>
          </w:p>
        </w:tc>
        <w:tc>
          <w:tcPr>
            <w:tcW w:w="6408" w:type="dxa"/>
            <w:gridSpan w:val="2"/>
            <w:vAlign w:val="center"/>
          </w:tcPr>
          <w:p w14:paraId="770C0A4C">
            <w:pPr>
              <w:tabs>
                <w:tab w:val="left" w:pos="8491"/>
              </w:tabs>
              <w:spacing w:line="240" w:lineRule="auto"/>
              <w:jc w:val="center"/>
              <w:rPr>
                <w:color w:val="auto"/>
                <w:lang w:eastAsia="zh-CN"/>
              </w:rPr>
            </w:pPr>
          </w:p>
        </w:tc>
      </w:tr>
    </w:tbl>
    <w:p w14:paraId="249B7057">
      <w:pPr>
        <w:tabs>
          <w:tab w:val="left" w:pos="8491"/>
        </w:tabs>
        <w:spacing w:line="360" w:lineRule="auto"/>
        <w:jc w:val="center"/>
        <w:rPr>
          <w:b/>
          <w:bCs/>
          <w:color w:val="auto"/>
          <w:sz w:val="32"/>
          <w:szCs w:val="32"/>
          <w:lang w:eastAsia="zh-CN"/>
        </w:rPr>
      </w:pPr>
    </w:p>
    <w:p w14:paraId="48049D6B">
      <w:pPr>
        <w:tabs>
          <w:tab w:val="left" w:pos="8491"/>
        </w:tabs>
        <w:spacing w:line="360" w:lineRule="auto"/>
        <w:jc w:val="center"/>
        <w:rPr>
          <w:rFonts w:eastAsiaTheme="minorEastAsia"/>
          <w:b/>
          <w:bCs/>
          <w:color w:val="auto"/>
          <w:sz w:val="32"/>
          <w:szCs w:val="32"/>
          <w:lang w:eastAsia="zh-CN"/>
        </w:rPr>
      </w:pPr>
    </w:p>
    <w:p w14:paraId="49039CE4">
      <w:pPr>
        <w:tabs>
          <w:tab w:val="left" w:pos="8491"/>
        </w:tabs>
        <w:spacing w:line="360" w:lineRule="auto"/>
        <w:jc w:val="center"/>
        <w:rPr>
          <w:rFonts w:eastAsiaTheme="minorEastAsia"/>
          <w:b/>
          <w:bCs/>
          <w:color w:val="auto"/>
          <w:sz w:val="32"/>
          <w:szCs w:val="32"/>
          <w:lang w:eastAsia="zh-CN"/>
        </w:rPr>
      </w:pPr>
    </w:p>
    <w:p w14:paraId="77F13DB3">
      <w:pPr>
        <w:tabs>
          <w:tab w:val="left" w:pos="8491"/>
        </w:tabs>
        <w:spacing w:line="360" w:lineRule="auto"/>
        <w:jc w:val="center"/>
        <w:rPr>
          <w:b/>
          <w:bCs/>
          <w:color w:val="auto"/>
          <w:sz w:val="32"/>
          <w:szCs w:val="32"/>
          <w:lang w:eastAsia="zh-CN"/>
        </w:rPr>
      </w:pPr>
      <w:r>
        <w:rPr>
          <w:rFonts w:hint="eastAsia" w:ascii="宋体" w:hAnsi="宋体" w:eastAsia="宋体" w:cs="宋体"/>
          <w:b/>
          <w:bCs/>
          <w:color w:val="auto"/>
          <w:sz w:val="32"/>
          <w:szCs w:val="32"/>
          <w:lang w:eastAsia="zh-CN"/>
        </w:rPr>
        <w:t>每月食品安全调度会议纪要</w:t>
      </w:r>
      <w:r>
        <w:rPr>
          <w:b/>
          <w:bCs/>
          <w:color w:val="auto"/>
          <w:sz w:val="32"/>
          <w:szCs w:val="32"/>
          <w:lang w:eastAsia="zh-CN"/>
        </w:rPr>
        <w:t>(</w:t>
      </w:r>
      <w:r>
        <w:rPr>
          <w:rFonts w:hint="eastAsia" w:ascii="宋体" w:hAnsi="宋体" w:eastAsia="宋体" w:cs="宋体"/>
          <w:b/>
          <w:bCs/>
          <w:color w:val="auto"/>
          <w:sz w:val="32"/>
          <w:szCs w:val="32"/>
          <w:lang w:eastAsia="zh-CN"/>
        </w:rPr>
        <w:t>示例</w:t>
      </w:r>
      <w:r>
        <w:rPr>
          <w:b/>
          <w:bCs/>
          <w:color w:val="auto"/>
          <w:sz w:val="32"/>
          <w:szCs w:val="32"/>
          <w:lang w:eastAsia="zh-CN"/>
        </w:rPr>
        <w:t>)</w:t>
      </w:r>
    </w:p>
    <w:p w14:paraId="2741F706">
      <w:pPr>
        <w:tabs>
          <w:tab w:val="left" w:pos="8491"/>
        </w:tabs>
        <w:spacing w:line="360" w:lineRule="auto"/>
        <w:jc w:val="center"/>
        <w:rPr>
          <w:b/>
          <w:bCs/>
          <w:color w:val="auto"/>
          <w:sz w:val="32"/>
          <w:szCs w:val="32"/>
          <w:lang w:eastAsia="zh-CN"/>
        </w:rPr>
      </w:pPr>
      <w:r>
        <w:rPr>
          <w:color w:val="auto"/>
          <w:lang w:eastAsia="zh-CN"/>
        </w:rPr>
        <w:t xml:space="preserve">( </w:t>
      </w:r>
      <w:r>
        <w:rPr>
          <w:rFonts w:hint="eastAsia" w:ascii="宋体" w:hAnsi="宋体" w:eastAsia="宋体" w:cs="宋体"/>
          <w:color w:val="auto"/>
          <w:lang w:eastAsia="zh-CN"/>
        </w:rPr>
        <w:t>风险管控清单版本号</w:t>
      </w:r>
      <w:r>
        <w:rPr>
          <w:color w:val="auto"/>
          <w:lang w:eastAsia="zh-CN"/>
        </w:rPr>
        <w:t>:</w:t>
      </w:r>
      <w:r>
        <w:rPr>
          <w:color w:val="auto"/>
          <w:u w:val="single"/>
          <w:lang w:eastAsia="zh-CN"/>
        </w:rPr>
        <w:t xml:space="preserve">          </w:t>
      </w:r>
      <w:r>
        <w:rPr>
          <w:rFonts w:hint="eastAsia" w:ascii="宋体" w:hAnsi="宋体" w:eastAsia="宋体" w:cs="宋体"/>
          <w:color w:val="auto"/>
          <w:lang w:eastAsia="zh-CN"/>
        </w:rPr>
        <w:t>）</w:t>
      </w:r>
    </w:p>
    <w:p w14:paraId="0BABE36E">
      <w:pPr>
        <w:tabs>
          <w:tab w:val="left" w:pos="8491"/>
        </w:tabs>
        <w:spacing w:line="360" w:lineRule="auto"/>
        <w:rPr>
          <w:b/>
          <w:bCs/>
          <w:color w:val="auto"/>
          <w:sz w:val="32"/>
          <w:szCs w:val="32"/>
          <w:lang w:eastAsia="zh-CN"/>
        </w:rPr>
      </w:pPr>
    </w:p>
    <w:p w14:paraId="5BE78DA3">
      <w:pPr>
        <w:tabs>
          <w:tab w:val="left" w:pos="8491"/>
        </w:tabs>
        <w:spacing w:line="360" w:lineRule="auto"/>
        <w:rPr>
          <w:color w:val="auto"/>
          <w:lang w:eastAsia="zh-CN"/>
        </w:rPr>
      </w:pPr>
    </w:p>
    <w:p w14:paraId="54A513FD">
      <w:pPr>
        <w:tabs>
          <w:tab w:val="left" w:pos="8491"/>
        </w:tabs>
        <w:spacing w:line="360" w:lineRule="auto"/>
        <w:rPr>
          <w:color w:val="auto"/>
          <w:lang w:eastAsia="zh-CN"/>
        </w:rPr>
      </w:pPr>
    </w:p>
    <w:p w14:paraId="45A4D509">
      <w:pPr>
        <w:tabs>
          <w:tab w:val="left" w:pos="8491"/>
        </w:tabs>
        <w:spacing w:line="360" w:lineRule="auto"/>
        <w:rPr>
          <w:color w:val="auto"/>
          <w:lang w:eastAsia="zh-CN"/>
        </w:rPr>
      </w:pPr>
      <w:r>
        <w:rPr>
          <w:rFonts w:hint="eastAsia" w:ascii="宋体" w:hAnsi="宋体" w:eastAsia="宋体" w:cs="宋体"/>
          <w:color w:val="auto"/>
          <w:lang w:eastAsia="zh-CN"/>
        </w:rPr>
        <w:t>会议时间</w:t>
      </w:r>
      <w:r>
        <w:rPr>
          <w:color w:val="auto"/>
          <w:lang w:eastAsia="zh-CN"/>
        </w:rPr>
        <w:t xml:space="preserve">:               </w:t>
      </w:r>
      <w:r>
        <w:rPr>
          <w:rFonts w:hint="eastAsia" w:ascii="宋体" w:hAnsi="宋体" w:eastAsia="宋体" w:cs="宋体"/>
          <w:color w:val="auto"/>
          <w:lang w:eastAsia="zh-CN"/>
        </w:rPr>
        <w:t>会议地点</w:t>
      </w:r>
      <w:r>
        <w:rPr>
          <w:color w:val="auto"/>
          <w:lang w:eastAsia="zh-CN"/>
        </w:rPr>
        <w:t xml:space="preserve">:                    </w:t>
      </w:r>
      <w:r>
        <w:rPr>
          <w:rFonts w:hint="eastAsia" w:ascii="宋体" w:hAnsi="宋体" w:eastAsia="宋体" w:cs="宋体"/>
          <w:color w:val="auto"/>
          <w:lang w:eastAsia="zh-CN"/>
        </w:rPr>
        <w:t>纪要编号</w:t>
      </w:r>
      <w:r>
        <w:rPr>
          <w:color w:val="auto"/>
          <w:lang w:eastAsia="zh-CN"/>
        </w:rPr>
        <w:t>:</w:t>
      </w:r>
    </w:p>
    <w:p w14:paraId="70B0A9A6">
      <w:pPr>
        <w:tabs>
          <w:tab w:val="left" w:pos="8491"/>
        </w:tabs>
        <w:spacing w:line="360" w:lineRule="auto"/>
        <w:rPr>
          <w:color w:val="auto"/>
          <w:lang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8"/>
        <w:gridCol w:w="2870"/>
        <w:gridCol w:w="2807"/>
      </w:tblGrid>
      <w:tr w14:paraId="16916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3203" w:type="dxa"/>
          </w:tcPr>
          <w:p w14:paraId="0E2BB4AF">
            <w:pPr>
              <w:tabs>
                <w:tab w:val="left" w:pos="8491"/>
              </w:tabs>
              <w:spacing w:line="240" w:lineRule="auto"/>
              <w:jc w:val="center"/>
              <w:rPr>
                <w:color w:val="auto"/>
                <w:lang w:eastAsia="zh-CN"/>
              </w:rPr>
            </w:pPr>
            <w:r>
              <w:rPr>
                <w:rFonts w:hint="eastAsia" w:ascii="宋体" w:hAnsi="宋体" w:eastAsia="宋体" w:cs="宋体"/>
                <w:color w:val="auto"/>
                <w:lang w:eastAsia="zh-CN"/>
              </w:rPr>
              <w:t>上月回顾</w:t>
            </w:r>
          </w:p>
          <w:p w14:paraId="1972C556">
            <w:pPr>
              <w:tabs>
                <w:tab w:val="left" w:pos="8491"/>
              </w:tabs>
              <w:spacing w:line="240" w:lineRule="auto"/>
              <w:jc w:val="both"/>
              <w:rPr>
                <w:color w:val="auto"/>
                <w:lang w:eastAsia="zh-CN"/>
              </w:rPr>
            </w:pPr>
          </w:p>
        </w:tc>
        <w:tc>
          <w:tcPr>
            <w:tcW w:w="3204" w:type="dxa"/>
          </w:tcPr>
          <w:p w14:paraId="58E11F79">
            <w:pPr>
              <w:tabs>
                <w:tab w:val="left" w:pos="8491"/>
              </w:tabs>
              <w:spacing w:line="240" w:lineRule="auto"/>
              <w:jc w:val="both"/>
              <w:rPr>
                <w:color w:val="auto"/>
                <w:lang w:eastAsia="zh-CN"/>
              </w:rPr>
            </w:pPr>
            <w:r>
              <w:rPr>
                <w:rFonts w:hint="eastAsia" w:ascii="宋体" w:hAnsi="宋体" w:eastAsia="宋体" w:cs="宋体"/>
                <w:color w:val="auto"/>
                <w:lang w:eastAsia="zh-CN"/>
              </w:rPr>
              <w:t>上月调度安排落实情况</w:t>
            </w:r>
          </w:p>
          <w:p w14:paraId="12A97E46">
            <w:pPr>
              <w:tabs>
                <w:tab w:val="left" w:pos="8491"/>
              </w:tabs>
              <w:spacing w:line="240" w:lineRule="auto"/>
              <w:jc w:val="both"/>
              <w:rPr>
                <w:color w:val="auto"/>
                <w:lang w:eastAsia="zh-CN"/>
              </w:rPr>
            </w:pPr>
          </w:p>
        </w:tc>
        <w:tc>
          <w:tcPr>
            <w:tcW w:w="3204" w:type="dxa"/>
          </w:tcPr>
          <w:p w14:paraId="421A0940">
            <w:pPr>
              <w:tabs>
                <w:tab w:val="left" w:pos="8491"/>
              </w:tabs>
              <w:spacing w:line="240" w:lineRule="auto"/>
              <w:jc w:val="both"/>
              <w:rPr>
                <w:color w:val="auto"/>
                <w:lang w:eastAsia="zh-CN"/>
              </w:rPr>
            </w:pPr>
          </w:p>
        </w:tc>
      </w:tr>
      <w:tr w14:paraId="1FFFD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trPr>
        <w:tc>
          <w:tcPr>
            <w:tcW w:w="3203" w:type="dxa"/>
            <w:vMerge w:val="restart"/>
            <w:vAlign w:val="center"/>
          </w:tcPr>
          <w:p w14:paraId="52A7242B">
            <w:pPr>
              <w:tabs>
                <w:tab w:val="left" w:pos="8491"/>
              </w:tabs>
              <w:spacing w:line="240" w:lineRule="auto"/>
              <w:jc w:val="center"/>
              <w:rPr>
                <w:color w:val="auto"/>
                <w:lang w:eastAsia="zh-CN"/>
              </w:rPr>
            </w:pPr>
            <w:r>
              <w:rPr>
                <w:rFonts w:hint="eastAsia" w:ascii="宋体" w:hAnsi="宋体" w:eastAsia="宋体" w:cs="宋体"/>
                <w:color w:val="auto"/>
                <w:lang w:eastAsia="zh-CN"/>
              </w:rPr>
              <w:t>本月总结</w:t>
            </w:r>
          </w:p>
          <w:p w14:paraId="4A4D6762">
            <w:pPr>
              <w:tabs>
                <w:tab w:val="left" w:pos="8491"/>
              </w:tabs>
              <w:spacing w:line="240" w:lineRule="auto"/>
              <w:jc w:val="center"/>
              <w:rPr>
                <w:color w:val="auto"/>
                <w:lang w:eastAsia="zh-CN"/>
              </w:rPr>
            </w:pPr>
          </w:p>
        </w:tc>
        <w:tc>
          <w:tcPr>
            <w:tcW w:w="3204" w:type="dxa"/>
          </w:tcPr>
          <w:p w14:paraId="49608D21">
            <w:pPr>
              <w:tabs>
                <w:tab w:val="left" w:pos="8491"/>
              </w:tabs>
              <w:spacing w:line="240" w:lineRule="auto"/>
              <w:jc w:val="both"/>
              <w:rPr>
                <w:color w:val="auto"/>
                <w:lang w:eastAsia="zh-CN"/>
              </w:rPr>
            </w:pPr>
            <w:r>
              <w:rPr>
                <w:rFonts w:hint="eastAsia" w:ascii="宋体" w:hAnsi="宋体" w:eastAsia="宋体" w:cs="宋体"/>
                <w:color w:val="auto"/>
                <w:lang w:eastAsia="zh-CN"/>
              </w:rPr>
              <w:t>日管控发现的问题及解决方法</w:t>
            </w:r>
          </w:p>
          <w:p w14:paraId="434F7BB7">
            <w:pPr>
              <w:tabs>
                <w:tab w:val="left" w:pos="8491"/>
              </w:tabs>
              <w:spacing w:line="240" w:lineRule="auto"/>
              <w:jc w:val="both"/>
              <w:rPr>
                <w:color w:val="auto"/>
                <w:lang w:eastAsia="zh-CN"/>
              </w:rPr>
            </w:pPr>
          </w:p>
        </w:tc>
        <w:tc>
          <w:tcPr>
            <w:tcW w:w="3204" w:type="dxa"/>
          </w:tcPr>
          <w:p w14:paraId="6E43F078">
            <w:pPr>
              <w:tabs>
                <w:tab w:val="left" w:pos="8491"/>
              </w:tabs>
              <w:spacing w:line="240" w:lineRule="auto"/>
              <w:jc w:val="both"/>
              <w:rPr>
                <w:color w:val="auto"/>
                <w:lang w:eastAsia="zh-CN"/>
              </w:rPr>
            </w:pPr>
          </w:p>
        </w:tc>
      </w:tr>
      <w:tr w14:paraId="617C6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3203" w:type="dxa"/>
            <w:vMerge w:val="continue"/>
          </w:tcPr>
          <w:p w14:paraId="16777702">
            <w:pPr>
              <w:tabs>
                <w:tab w:val="left" w:pos="8491"/>
              </w:tabs>
              <w:spacing w:line="240" w:lineRule="auto"/>
              <w:jc w:val="both"/>
              <w:rPr>
                <w:color w:val="auto"/>
                <w:lang w:eastAsia="zh-CN"/>
              </w:rPr>
            </w:pPr>
          </w:p>
        </w:tc>
        <w:tc>
          <w:tcPr>
            <w:tcW w:w="3204" w:type="dxa"/>
          </w:tcPr>
          <w:p w14:paraId="11FB70F3">
            <w:pPr>
              <w:tabs>
                <w:tab w:val="left" w:pos="8491"/>
              </w:tabs>
              <w:spacing w:line="240" w:lineRule="auto"/>
              <w:jc w:val="both"/>
              <w:rPr>
                <w:color w:val="auto"/>
                <w:lang w:eastAsia="zh-CN"/>
              </w:rPr>
            </w:pPr>
            <w:r>
              <w:rPr>
                <w:rFonts w:hint="eastAsia" w:ascii="宋体" w:hAnsi="宋体" w:eastAsia="宋体" w:cs="宋体"/>
                <w:color w:val="auto"/>
                <w:lang w:eastAsia="zh-CN"/>
              </w:rPr>
              <w:t>周排查问题出现的原因分析、整改措施</w:t>
            </w:r>
          </w:p>
          <w:p w14:paraId="6455DE01">
            <w:pPr>
              <w:tabs>
                <w:tab w:val="left" w:pos="8491"/>
              </w:tabs>
              <w:spacing w:line="240" w:lineRule="auto"/>
              <w:jc w:val="both"/>
              <w:rPr>
                <w:color w:val="auto"/>
                <w:lang w:eastAsia="zh-CN"/>
              </w:rPr>
            </w:pPr>
          </w:p>
        </w:tc>
        <w:tc>
          <w:tcPr>
            <w:tcW w:w="3204" w:type="dxa"/>
          </w:tcPr>
          <w:p w14:paraId="631834EC">
            <w:pPr>
              <w:tabs>
                <w:tab w:val="left" w:pos="8491"/>
              </w:tabs>
              <w:spacing w:line="240" w:lineRule="auto"/>
              <w:jc w:val="both"/>
              <w:rPr>
                <w:color w:val="auto"/>
                <w:lang w:eastAsia="zh-CN"/>
              </w:rPr>
            </w:pPr>
          </w:p>
        </w:tc>
      </w:tr>
      <w:tr w14:paraId="42F77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trPr>
        <w:tc>
          <w:tcPr>
            <w:tcW w:w="3203" w:type="dxa"/>
          </w:tcPr>
          <w:p w14:paraId="4ED203D9">
            <w:pPr>
              <w:tabs>
                <w:tab w:val="left" w:pos="8491"/>
              </w:tabs>
              <w:spacing w:line="240" w:lineRule="auto"/>
              <w:jc w:val="center"/>
              <w:rPr>
                <w:color w:val="auto"/>
                <w:lang w:eastAsia="zh-CN"/>
              </w:rPr>
            </w:pPr>
            <w:r>
              <w:rPr>
                <w:rFonts w:hint="eastAsia" w:ascii="宋体" w:hAnsi="宋体" w:eastAsia="宋体" w:cs="宋体"/>
                <w:color w:val="auto"/>
                <w:lang w:eastAsia="zh-CN"/>
              </w:rPr>
              <w:t>调度安排</w:t>
            </w:r>
          </w:p>
          <w:p w14:paraId="2A4FFACE">
            <w:pPr>
              <w:tabs>
                <w:tab w:val="left" w:pos="8491"/>
              </w:tabs>
              <w:spacing w:line="240" w:lineRule="auto"/>
              <w:jc w:val="center"/>
              <w:rPr>
                <w:color w:val="auto"/>
                <w:lang w:eastAsia="zh-CN"/>
              </w:rPr>
            </w:pPr>
          </w:p>
        </w:tc>
        <w:tc>
          <w:tcPr>
            <w:tcW w:w="6408" w:type="dxa"/>
            <w:gridSpan w:val="2"/>
          </w:tcPr>
          <w:p w14:paraId="07F14B51">
            <w:pPr>
              <w:tabs>
                <w:tab w:val="left" w:pos="8491"/>
              </w:tabs>
              <w:spacing w:line="240" w:lineRule="auto"/>
              <w:jc w:val="both"/>
              <w:rPr>
                <w:color w:val="auto"/>
                <w:lang w:eastAsia="zh-CN"/>
              </w:rPr>
            </w:pPr>
          </w:p>
        </w:tc>
      </w:tr>
      <w:tr w14:paraId="3EE05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9" w:hRule="atLeast"/>
        </w:trPr>
        <w:tc>
          <w:tcPr>
            <w:tcW w:w="3203" w:type="dxa"/>
          </w:tcPr>
          <w:p w14:paraId="54C0FBD4">
            <w:pPr>
              <w:tabs>
                <w:tab w:val="left" w:pos="8491"/>
              </w:tabs>
              <w:spacing w:line="240" w:lineRule="auto"/>
              <w:jc w:val="center"/>
              <w:rPr>
                <w:color w:val="auto"/>
                <w:lang w:eastAsia="zh-CN"/>
              </w:rPr>
            </w:pPr>
            <w:r>
              <w:rPr>
                <w:rFonts w:hint="eastAsia" w:ascii="宋体" w:hAnsi="宋体" w:eastAsia="宋体" w:cs="宋体"/>
                <w:color w:val="auto"/>
                <w:lang w:eastAsia="zh-CN"/>
              </w:rPr>
              <w:t>参加人员</w:t>
            </w:r>
            <w:r>
              <w:rPr>
                <w:color w:val="auto"/>
                <w:lang w:eastAsia="zh-CN"/>
              </w:rPr>
              <w:t>(</w:t>
            </w:r>
            <w:r>
              <w:rPr>
                <w:rFonts w:hint="eastAsia" w:ascii="宋体" w:hAnsi="宋体" w:eastAsia="宋体" w:cs="宋体"/>
                <w:color w:val="auto"/>
                <w:lang w:eastAsia="zh-CN"/>
              </w:rPr>
              <w:t>签字</w:t>
            </w:r>
            <w:r>
              <w:rPr>
                <w:color w:val="auto"/>
                <w:lang w:eastAsia="zh-CN"/>
              </w:rPr>
              <w:t>)</w:t>
            </w:r>
          </w:p>
          <w:p w14:paraId="14950AA7">
            <w:pPr>
              <w:tabs>
                <w:tab w:val="left" w:pos="8491"/>
              </w:tabs>
              <w:spacing w:line="240" w:lineRule="auto"/>
              <w:jc w:val="center"/>
              <w:rPr>
                <w:color w:val="auto"/>
                <w:lang w:eastAsia="zh-CN"/>
              </w:rPr>
            </w:pPr>
          </w:p>
        </w:tc>
        <w:tc>
          <w:tcPr>
            <w:tcW w:w="6408" w:type="dxa"/>
            <w:gridSpan w:val="2"/>
          </w:tcPr>
          <w:p w14:paraId="7559166B">
            <w:pPr>
              <w:tabs>
                <w:tab w:val="left" w:pos="8491"/>
              </w:tabs>
              <w:spacing w:line="240" w:lineRule="auto"/>
              <w:jc w:val="both"/>
              <w:rPr>
                <w:color w:val="auto"/>
                <w:lang w:eastAsia="zh-CN"/>
              </w:rPr>
            </w:pPr>
          </w:p>
        </w:tc>
      </w:tr>
      <w:tr w14:paraId="79198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3203" w:type="dxa"/>
          </w:tcPr>
          <w:p w14:paraId="034A080F">
            <w:pPr>
              <w:tabs>
                <w:tab w:val="left" w:pos="8491"/>
              </w:tabs>
              <w:spacing w:line="240" w:lineRule="auto"/>
              <w:jc w:val="center"/>
              <w:rPr>
                <w:color w:val="auto"/>
                <w:lang w:eastAsia="zh-CN"/>
              </w:rPr>
            </w:pPr>
            <w:r>
              <w:rPr>
                <w:rFonts w:hint="eastAsia" w:ascii="宋体" w:hAnsi="宋体" w:eastAsia="宋体" w:cs="宋体"/>
                <w:color w:val="auto"/>
                <w:lang w:eastAsia="zh-CN"/>
              </w:rPr>
              <w:t>企业主要负责人</w:t>
            </w:r>
            <w:r>
              <w:rPr>
                <w:color w:val="auto"/>
                <w:lang w:eastAsia="zh-CN"/>
              </w:rPr>
              <w:t>(</w:t>
            </w:r>
            <w:r>
              <w:rPr>
                <w:rFonts w:hint="eastAsia" w:ascii="宋体" w:hAnsi="宋体" w:eastAsia="宋体" w:cs="宋体"/>
                <w:color w:val="auto"/>
                <w:lang w:eastAsia="zh-CN"/>
              </w:rPr>
              <w:t>签字</w:t>
            </w:r>
            <w:r>
              <w:rPr>
                <w:color w:val="auto"/>
                <w:lang w:eastAsia="zh-CN"/>
              </w:rPr>
              <w:t>)</w:t>
            </w:r>
          </w:p>
          <w:p w14:paraId="7E1A2AB5">
            <w:pPr>
              <w:tabs>
                <w:tab w:val="left" w:pos="8491"/>
              </w:tabs>
              <w:spacing w:line="240" w:lineRule="auto"/>
              <w:jc w:val="center"/>
              <w:rPr>
                <w:color w:val="auto"/>
                <w:lang w:eastAsia="zh-CN"/>
              </w:rPr>
            </w:pPr>
          </w:p>
        </w:tc>
        <w:tc>
          <w:tcPr>
            <w:tcW w:w="6408" w:type="dxa"/>
            <w:gridSpan w:val="2"/>
          </w:tcPr>
          <w:p w14:paraId="13C103FA">
            <w:pPr>
              <w:tabs>
                <w:tab w:val="left" w:pos="8491"/>
              </w:tabs>
              <w:spacing w:line="240" w:lineRule="auto"/>
              <w:jc w:val="both"/>
              <w:rPr>
                <w:color w:val="auto"/>
                <w:lang w:eastAsia="zh-CN"/>
              </w:rPr>
            </w:pPr>
          </w:p>
        </w:tc>
      </w:tr>
    </w:tbl>
    <w:p w14:paraId="49EC0399">
      <w:pPr>
        <w:tabs>
          <w:tab w:val="left" w:pos="8491"/>
        </w:tabs>
        <w:spacing w:line="360" w:lineRule="auto"/>
        <w:jc w:val="center"/>
        <w:rPr>
          <w:b/>
          <w:bCs/>
          <w:color w:val="auto"/>
          <w:sz w:val="32"/>
          <w:szCs w:val="32"/>
          <w:lang w:eastAsia="zh-CN"/>
        </w:rPr>
      </w:pPr>
    </w:p>
    <w:p w14:paraId="4B32063F">
      <w:pPr>
        <w:pStyle w:val="13"/>
        <w:spacing w:before="940" w:after="300" w:line="360" w:lineRule="auto"/>
        <w:jc w:val="center"/>
        <w:rPr>
          <w:rStyle w:val="14"/>
          <w:rFonts w:hint="eastAsia" w:ascii="Times New Roman" w:hAnsi="Times New Roman" w:cs="Times New Roman"/>
          <w:color w:val="auto"/>
        </w:rPr>
        <w:sectPr>
          <w:pgSz w:w="11909" w:h="16838"/>
          <w:pgMar w:top="1440" w:right="1800" w:bottom="1440" w:left="1800" w:header="1134" w:footer="1134" w:gutter="0"/>
          <w:pgNumType w:fmt="decimal"/>
          <w:cols w:space="720" w:num="1"/>
          <w:docGrid w:linePitch="360" w:charSpace="0"/>
        </w:sectPr>
      </w:pPr>
    </w:p>
    <w:p w14:paraId="14C2F6C8">
      <w:pPr>
        <w:pStyle w:val="13"/>
        <w:spacing w:before="120" w:beforeLines="50" w:after="120" w:afterLines="50" w:line="360" w:lineRule="auto"/>
        <w:jc w:val="center"/>
        <w:outlineLvl w:val="0"/>
        <w:rPr>
          <w:rStyle w:val="14"/>
          <w:rFonts w:ascii="Times New Roman" w:hAnsi="Times New Roman" w:cs="Times New Roman"/>
          <w:color w:val="auto"/>
          <w:kern w:val="44"/>
        </w:rPr>
      </w:pPr>
      <w:bookmarkStart w:id="53" w:name="_Toc8545"/>
      <w:r>
        <w:rPr>
          <w:rStyle w:val="14"/>
          <w:rFonts w:ascii="Times New Roman" w:hAnsi="Times New Roman" w:cs="Times New Roman"/>
          <w:color w:val="auto"/>
          <w:kern w:val="44"/>
        </w:rPr>
        <w:t>附录C（规范性）</w:t>
      </w:r>
      <w:bookmarkEnd w:id="53"/>
    </w:p>
    <w:p w14:paraId="1A988C81">
      <w:pPr>
        <w:spacing w:line="360" w:lineRule="auto"/>
        <w:jc w:val="center"/>
        <w:rPr>
          <w:color w:val="auto"/>
        </w:rPr>
      </w:pPr>
      <w:r>
        <w:rPr>
          <w:rStyle w:val="14"/>
          <w:rFonts w:ascii="Times New Roman" w:hAnsi="Times New Roman" w:cs="Times New Roman"/>
          <w:color w:val="auto"/>
        </w:rPr>
        <w:t>检验管理相关要求</w:t>
      </w:r>
    </w:p>
    <w:p w14:paraId="3540741F">
      <w:pPr>
        <w:pStyle w:val="13"/>
        <w:numPr>
          <w:ilvl w:val="1"/>
          <w:numId w:val="5"/>
        </w:numPr>
        <w:tabs>
          <w:tab w:val="left" w:pos="523"/>
        </w:tabs>
        <w:spacing w:after="300" w:line="360" w:lineRule="auto"/>
        <w:rPr>
          <w:rFonts w:ascii="Times New Roman" w:hAnsi="Times New Roman" w:cs="Times New Roman"/>
          <w:color w:val="auto"/>
        </w:rPr>
      </w:pPr>
      <w:r>
        <w:rPr>
          <w:rStyle w:val="14"/>
          <w:rFonts w:ascii="Times New Roman" w:hAnsi="Times New Roman" w:cs="Times New Roman"/>
          <w:color w:val="auto"/>
        </w:rPr>
        <w:t>检验室文件要求</w:t>
      </w:r>
    </w:p>
    <w:p w14:paraId="0A71F5A6">
      <w:pPr>
        <w:pStyle w:val="15"/>
        <w:spacing w:line="360" w:lineRule="auto"/>
        <w:ind w:firstLine="420"/>
        <w:rPr>
          <w:rFonts w:ascii="Times New Roman" w:hAnsi="Times New Roman" w:cs="Times New Roman"/>
          <w:color w:val="auto"/>
        </w:rPr>
      </w:pPr>
      <w:r>
        <w:rPr>
          <w:rStyle w:val="16"/>
          <w:rFonts w:ascii="Times New Roman" w:hAnsi="Times New Roman" w:cs="Times New Roman"/>
          <w:color w:val="auto"/>
        </w:rPr>
        <w:t>检验室文件至少包含如下内容：</w:t>
      </w:r>
    </w:p>
    <w:p w14:paraId="51EAF629">
      <w:pPr>
        <w:pStyle w:val="15"/>
        <w:numPr>
          <w:ilvl w:val="0"/>
          <w:numId w:val="6"/>
        </w:numPr>
        <w:tabs>
          <w:tab w:val="left" w:pos="1258"/>
        </w:tabs>
        <w:spacing w:line="360" w:lineRule="auto"/>
        <w:ind w:firstLine="840"/>
        <w:rPr>
          <w:rFonts w:ascii="Times New Roman" w:hAnsi="Times New Roman" w:cs="Times New Roman"/>
          <w:color w:val="auto"/>
        </w:rPr>
      </w:pPr>
      <w:r>
        <w:rPr>
          <w:rStyle w:val="16"/>
          <w:rFonts w:ascii="Times New Roman" w:hAnsi="Times New Roman" w:cs="Times New Roman"/>
          <w:color w:val="auto"/>
        </w:rPr>
        <w:t>食品相关产品安全标准和质量标准；</w:t>
      </w:r>
    </w:p>
    <w:p w14:paraId="3C96A2EA">
      <w:pPr>
        <w:pStyle w:val="15"/>
        <w:numPr>
          <w:ilvl w:val="0"/>
          <w:numId w:val="6"/>
        </w:numPr>
        <w:tabs>
          <w:tab w:val="left" w:pos="1258"/>
        </w:tabs>
        <w:spacing w:line="360" w:lineRule="auto"/>
        <w:ind w:firstLine="840"/>
        <w:rPr>
          <w:rFonts w:ascii="Times New Roman" w:hAnsi="Times New Roman" w:cs="Times New Roman"/>
          <w:color w:val="auto"/>
        </w:rPr>
      </w:pPr>
      <w:r>
        <w:rPr>
          <w:rStyle w:val="16"/>
          <w:rFonts w:ascii="Times New Roman" w:hAnsi="Times New Roman" w:cs="Times New Roman"/>
          <w:color w:val="auto"/>
        </w:rPr>
        <w:t>取样操作规程和记录；</w:t>
      </w:r>
    </w:p>
    <w:p w14:paraId="776B4C3D">
      <w:pPr>
        <w:pStyle w:val="15"/>
        <w:numPr>
          <w:ilvl w:val="0"/>
          <w:numId w:val="6"/>
        </w:numPr>
        <w:tabs>
          <w:tab w:val="left" w:pos="1258"/>
        </w:tabs>
        <w:spacing w:line="360" w:lineRule="auto"/>
        <w:ind w:firstLine="840"/>
        <w:rPr>
          <w:rFonts w:ascii="Times New Roman" w:hAnsi="Times New Roman" w:cs="Times New Roman"/>
          <w:color w:val="auto"/>
        </w:rPr>
      </w:pPr>
      <w:r>
        <w:rPr>
          <w:rStyle w:val="16"/>
          <w:rFonts w:ascii="Times New Roman" w:hAnsi="Times New Roman" w:cs="Times New Roman"/>
          <w:color w:val="auto"/>
        </w:rPr>
        <w:t>检验操作规程和记录；</w:t>
      </w:r>
    </w:p>
    <w:p w14:paraId="2D4B5F49">
      <w:pPr>
        <w:pStyle w:val="15"/>
        <w:numPr>
          <w:ilvl w:val="0"/>
          <w:numId w:val="6"/>
        </w:numPr>
        <w:tabs>
          <w:tab w:val="left" w:pos="1258"/>
        </w:tabs>
        <w:spacing w:line="360" w:lineRule="auto"/>
        <w:ind w:firstLine="840"/>
        <w:rPr>
          <w:rFonts w:ascii="Times New Roman" w:hAnsi="Times New Roman" w:cs="Times New Roman"/>
          <w:color w:val="auto"/>
        </w:rPr>
      </w:pPr>
      <w:r>
        <w:rPr>
          <w:rStyle w:val="16"/>
          <w:rFonts w:ascii="Times New Roman" w:hAnsi="Times New Roman" w:cs="Times New Roman"/>
          <w:color w:val="auto"/>
        </w:rPr>
        <w:t>检验报告；</w:t>
      </w:r>
    </w:p>
    <w:p w14:paraId="63683A3A">
      <w:pPr>
        <w:pStyle w:val="15"/>
        <w:numPr>
          <w:ilvl w:val="0"/>
          <w:numId w:val="6"/>
        </w:numPr>
        <w:tabs>
          <w:tab w:val="left" w:pos="1258"/>
        </w:tabs>
        <w:spacing w:line="360" w:lineRule="auto"/>
        <w:ind w:firstLine="840"/>
        <w:rPr>
          <w:rFonts w:ascii="Times New Roman" w:hAnsi="Times New Roman" w:cs="Times New Roman"/>
          <w:color w:val="auto"/>
        </w:rPr>
      </w:pPr>
      <w:r>
        <w:rPr>
          <w:rStyle w:val="16"/>
          <w:rFonts w:ascii="Times New Roman" w:hAnsi="Times New Roman" w:cs="Times New Roman"/>
          <w:color w:val="auto"/>
        </w:rPr>
        <w:t>必要的环境监测操作规程、记录和报告；</w:t>
      </w:r>
    </w:p>
    <w:p w14:paraId="106D0BFC">
      <w:pPr>
        <w:pStyle w:val="15"/>
        <w:numPr>
          <w:ilvl w:val="0"/>
          <w:numId w:val="6"/>
        </w:numPr>
        <w:tabs>
          <w:tab w:val="left" w:pos="1258"/>
        </w:tabs>
        <w:spacing w:after="380" w:line="360" w:lineRule="auto"/>
        <w:ind w:firstLine="840"/>
        <w:rPr>
          <w:rFonts w:ascii="Times New Roman" w:hAnsi="Times New Roman" w:cs="Times New Roman"/>
          <w:color w:val="auto"/>
        </w:rPr>
      </w:pPr>
      <w:r>
        <w:rPr>
          <w:rStyle w:val="16"/>
          <w:rFonts w:ascii="Times New Roman" w:hAnsi="Times New Roman" w:cs="Times New Roman"/>
          <w:color w:val="auto"/>
        </w:rPr>
        <w:t>仪器校准和设备使用、维护的操作规程及记录。</w:t>
      </w:r>
    </w:p>
    <w:p w14:paraId="664D4EEE">
      <w:pPr>
        <w:pStyle w:val="13"/>
        <w:numPr>
          <w:ilvl w:val="1"/>
          <w:numId w:val="5"/>
        </w:numPr>
        <w:tabs>
          <w:tab w:val="left" w:pos="523"/>
        </w:tabs>
        <w:spacing w:after="300" w:line="360" w:lineRule="auto"/>
        <w:rPr>
          <w:rFonts w:ascii="Times New Roman" w:hAnsi="Times New Roman" w:cs="Times New Roman"/>
          <w:color w:val="auto"/>
        </w:rPr>
      </w:pPr>
      <w:r>
        <w:rPr>
          <w:rStyle w:val="14"/>
          <w:rFonts w:ascii="Times New Roman" w:hAnsi="Times New Roman" w:cs="Times New Roman"/>
          <w:color w:val="auto"/>
        </w:rPr>
        <w:t>检验记录要求</w:t>
      </w:r>
    </w:p>
    <w:p w14:paraId="737F0CBA">
      <w:pPr>
        <w:pStyle w:val="15"/>
        <w:spacing w:line="360" w:lineRule="auto"/>
        <w:ind w:firstLine="420"/>
        <w:rPr>
          <w:rFonts w:ascii="Times New Roman" w:hAnsi="Times New Roman" w:cs="Times New Roman"/>
          <w:color w:val="auto"/>
        </w:rPr>
      </w:pPr>
      <w:r>
        <w:rPr>
          <w:rStyle w:val="16"/>
          <w:rFonts w:ascii="Times New Roman" w:hAnsi="Times New Roman" w:cs="Times New Roman"/>
          <w:color w:val="auto"/>
        </w:rPr>
        <w:t>检验记录要求包括但不限于如下内容：</w:t>
      </w:r>
    </w:p>
    <w:p w14:paraId="4129C6C9">
      <w:pPr>
        <w:pStyle w:val="15"/>
        <w:numPr>
          <w:ilvl w:val="0"/>
          <w:numId w:val="7"/>
        </w:numPr>
        <w:tabs>
          <w:tab w:val="left" w:pos="1258"/>
        </w:tabs>
        <w:spacing w:line="360" w:lineRule="auto"/>
        <w:ind w:firstLine="840"/>
        <w:rPr>
          <w:rFonts w:ascii="Times New Roman" w:hAnsi="Times New Roman" w:cs="Times New Roman"/>
          <w:color w:val="auto"/>
        </w:rPr>
      </w:pPr>
      <w:r>
        <w:rPr>
          <w:rStyle w:val="16"/>
          <w:rFonts w:ascii="Times New Roman" w:hAnsi="Times New Roman" w:cs="Times New Roman"/>
          <w:color w:val="auto"/>
        </w:rPr>
        <w:t>产品或物料的名称、规格、生产日期或批号；</w:t>
      </w:r>
    </w:p>
    <w:p w14:paraId="4E9CDCA6">
      <w:pPr>
        <w:pStyle w:val="15"/>
        <w:numPr>
          <w:ilvl w:val="0"/>
          <w:numId w:val="7"/>
        </w:numPr>
        <w:tabs>
          <w:tab w:val="left" w:pos="1258"/>
        </w:tabs>
        <w:spacing w:line="360" w:lineRule="auto"/>
        <w:ind w:firstLine="840"/>
        <w:rPr>
          <w:rFonts w:ascii="Times New Roman" w:hAnsi="Times New Roman" w:cs="Times New Roman"/>
          <w:color w:val="auto"/>
        </w:rPr>
      </w:pPr>
      <w:r>
        <w:rPr>
          <w:rStyle w:val="16"/>
          <w:rFonts w:ascii="Times New Roman" w:hAnsi="Times New Roman" w:cs="Times New Roman"/>
          <w:color w:val="auto"/>
        </w:rPr>
        <w:t>依据的检验标准和检验操作规程；</w:t>
      </w:r>
    </w:p>
    <w:p w14:paraId="240ABE0E">
      <w:pPr>
        <w:pStyle w:val="15"/>
        <w:numPr>
          <w:ilvl w:val="0"/>
          <w:numId w:val="7"/>
        </w:numPr>
        <w:tabs>
          <w:tab w:val="left" w:pos="1258"/>
        </w:tabs>
        <w:spacing w:line="360" w:lineRule="auto"/>
        <w:ind w:firstLine="840"/>
        <w:rPr>
          <w:rFonts w:ascii="Times New Roman" w:hAnsi="Times New Roman" w:cs="Times New Roman"/>
          <w:color w:val="auto"/>
        </w:rPr>
      </w:pPr>
      <w:r>
        <w:rPr>
          <w:rStyle w:val="16"/>
          <w:rFonts w:ascii="Times New Roman" w:hAnsi="Times New Roman" w:cs="Times New Roman"/>
          <w:color w:val="auto"/>
        </w:rPr>
        <w:t>检验所用的仪器；</w:t>
      </w:r>
    </w:p>
    <w:p w14:paraId="5378C1E5">
      <w:pPr>
        <w:pStyle w:val="15"/>
        <w:numPr>
          <w:ilvl w:val="0"/>
          <w:numId w:val="7"/>
        </w:numPr>
        <w:tabs>
          <w:tab w:val="left" w:pos="1258"/>
        </w:tabs>
        <w:spacing w:line="360" w:lineRule="auto"/>
        <w:ind w:firstLine="840"/>
        <w:rPr>
          <w:rFonts w:ascii="Times New Roman" w:hAnsi="Times New Roman" w:cs="Times New Roman"/>
          <w:color w:val="auto"/>
        </w:rPr>
      </w:pPr>
      <w:r>
        <w:rPr>
          <w:rStyle w:val="16"/>
          <w:rFonts w:ascii="Times New Roman" w:hAnsi="Times New Roman" w:cs="Times New Roman"/>
          <w:color w:val="auto"/>
        </w:rPr>
        <w:t>检验所用的试</w:t>
      </w:r>
      <w:r>
        <w:rPr>
          <w:rStyle w:val="16"/>
          <w:rFonts w:ascii="Times New Roman" w:hAnsi="Times New Roman" w:cs="Times New Roman"/>
          <w:color w:val="auto"/>
          <w:lang w:val="en-US"/>
        </w:rPr>
        <w:t>剂；</w:t>
      </w:r>
    </w:p>
    <w:p w14:paraId="522521EF">
      <w:pPr>
        <w:pStyle w:val="15"/>
        <w:numPr>
          <w:ilvl w:val="0"/>
          <w:numId w:val="7"/>
        </w:numPr>
        <w:tabs>
          <w:tab w:val="left" w:pos="1258"/>
        </w:tabs>
        <w:spacing w:line="360" w:lineRule="auto"/>
        <w:ind w:firstLine="840"/>
        <w:rPr>
          <w:rFonts w:ascii="Times New Roman" w:hAnsi="Times New Roman" w:cs="Times New Roman"/>
          <w:color w:val="auto"/>
        </w:rPr>
      </w:pPr>
      <w:r>
        <w:rPr>
          <w:rStyle w:val="16"/>
          <w:rFonts w:ascii="Times New Roman" w:hAnsi="Times New Roman" w:cs="Times New Roman"/>
          <w:color w:val="auto"/>
        </w:rPr>
        <w:t>检验结果；</w:t>
      </w:r>
    </w:p>
    <w:p w14:paraId="52FEB8FC">
      <w:pPr>
        <w:pStyle w:val="15"/>
        <w:numPr>
          <w:ilvl w:val="0"/>
          <w:numId w:val="7"/>
        </w:numPr>
        <w:tabs>
          <w:tab w:val="left" w:pos="1258"/>
        </w:tabs>
        <w:spacing w:line="360" w:lineRule="auto"/>
        <w:ind w:firstLine="840"/>
        <w:rPr>
          <w:rFonts w:ascii="Times New Roman" w:hAnsi="Times New Roman" w:cs="Times New Roman"/>
          <w:color w:val="auto"/>
        </w:rPr>
      </w:pPr>
      <w:r>
        <w:rPr>
          <w:rStyle w:val="16"/>
          <w:rFonts w:ascii="Times New Roman" w:hAnsi="Times New Roman" w:cs="Times New Roman"/>
          <w:color w:val="auto"/>
        </w:rPr>
        <w:t>检验日期；</w:t>
      </w:r>
    </w:p>
    <w:p w14:paraId="626ACFC5">
      <w:pPr>
        <w:pStyle w:val="15"/>
        <w:numPr>
          <w:ilvl w:val="0"/>
          <w:numId w:val="7"/>
        </w:numPr>
        <w:tabs>
          <w:tab w:val="left" w:pos="1258"/>
        </w:tabs>
        <w:spacing w:line="360" w:lineRule="auto"/>
        <w:ind w:firstLine="840"/>
        <w:rPr>
          <w:rFonts w:ascii="Times New Roman" w:hAnsi="Times New Roman" w:cs="Times New Roman"/>
          <w:color w:val="auto"/>
        </w:rPr>
      </w:pPr>
      <w:r>
        <w:rPr>
          <w:rStyle w:val="16"/>
          <w:rFonts w:ascii="Times New Roman" w:hAnsi="Times New Roman" w:cs="Times New Roman"/>
          <w:color w:val="auto"/>
        </w:rPr>
        <w:t>检验人员的签名和日期；</w:t>
      </w:r>
    </w:p>
    <w:p w14:paraId="7DA17FE2">
      <w:pPr>
        <w:pStyle w:val="15"/>
        <w:numPr>
          <w:ilvl w:val="0"/>
          <w:numId w:val="7"/>
        </w:numPr>
        <w:tabs>
          <w:tab w:val="left" w:pos="1258"/>
        </w:tabs>
        <w:spacing w:after="300" w:line="360" w:lineRule="auto"/>
        <w:ind w:firstLine="840"/>
        <w:rPr>
          <w:rFonts w:ascii="Times New Roman" w:hAnsi="Times New Roman" w:cs="Times New Roman"/>
          <w:color w:val="auto"/>
        </w:rPr>
      </w:pPr>
      <w:r>
        <w:rPr>
          <w:rStyle w:val="16"/>
          <w:rFonts w:ascii="Times New Roman" w:hAnsi="Times New Roman" w:cs="Times New Roman"/>
          <w:color w:val="auto"/>
        </w:rPr>
        <w:t>检验、计算复核人员的签名和日期。</w:t>
      </w:r>
    </w:p>
    <w:p w14:paraId="488558DD">
      <w:pPr>
        <w:pStyle w:val="13"/>
        <w:numPr>
          <w:ilvl w:val="1"/>
          <w:numId w:val="5"/>
        </w:numPr>
        <w:tabs>
          <w:tab w:val="left" w:pos="523"/>
        </w:tabs>
        <w:spacing w:after="300" w:line="360" w:lineRule="auto"/>
        <w:rPr>
          <w:rFonts w:ascii="Times New Roman" w:hAnsi="Times New Roman" w:cs="Times New Roman"/>
          <w:color w:val="auto"/>
        </w:rPr>
      </w:pPr>
      <w:r>
        <w:rPr>
          <w:rStyle w:val="14"/>
          <w:rFonts w:ascii="Times New Roman" w:hAnsi="Times New Roman" w:cs="Times New Roman"/>
          <w:color w:val="auto"/>
        </w:rPr>
        <w:t>留样要求</w:t>
      </w:r>
    </w:p>
    <w:p w14:paraId="1C2A5643">
      <w:pPr>
        <w:pStyle w:val="15"/>
        <w:spacing w:line="360" w:lineRule="auto"/>
        <w:ind w:firstLine="420"/>
        <w:rPr>
          <w:rFonts w:ascii="Times New Roman" w:hAnsi="Times New Roman" w:cs="Times New Roman"/>
          <w:color w:val="auto"/>
        </w:rPr>
      </w:pPr>
      <w:r>
        <w:rPr>
          <w:rStyle w:val="16"/>
          <w:rFonts w:ascii="Times New Roman" w:hAnsi="Times New Roman" w:cs="Times New Roman"/>
          <w:color w:val="auto"/>
        </w:rPr>
        <w:t>留样要求如下：</w:t>
      </w:r>
    </w:p>
    <w:p w14:paraId="7C239D93">
      <w:pPr>
        <w:pStyle w:val="15"/>
        <w:numPr>
          <w:ilvl w:val="0"/>
          <w:numId w:val="8"/>
        </w:numPr>
        <w:tabs>
          <w:tab w:val="left" w:pos="1258"/>
        </w:tabs>
        <w:spacing w:line="360" w:lineRule="auto"/>
        <w:ind w:left="1260" w:hanging="420"/>
        <w:rPr>
          <w:rFonts w:ascii="Times New Roman" w:hAnsi="Times New Roman" w:cs="Times New Roman"/>
          <w:color w:val="auto"/>
        </w:rPr>
      </w:pPr>
      <w:r>
        <w:rPr>
          <w:rStyle w:val="16"/>
          <w:rFonts w:ascii="Times New Roman" w:hAnsi="Times New Roman" w:cs="Times New Roman"/>
          <w:color w:val="auto"/>
        </w:rPr>
        <w:t>应按照操作规程对留样进行管理；</w:t>
      </w:r>
    </w:p>
    <w:p w14:paraId="19D7C225">
      <w:pPr>
        <w:pStyle w:val="15"/>
        <w:numPr>
          <w:ilvl w:val="0"/>
          <w:numId w:val="8"/>
        </w:numPr>
        <w:tabs>
          <w:tab w:val="left" w:pos="1258"/>
        </w:tabs>
        <w:spacing w:line="360" w:lineRule="auto"/>
        <w:ind w:left="1260" w:hanging="420"/>
        <w:rPr>
          <w:rFonts w:ascii="Times New Roman" w:hAnsi="Times New Roman" w:cs="Times New Roman"/>
          <w:color w:val="auto"/>
        </w:rPr>
      </w:pPr>
      <w:r>
        <w:rPr>
          <w:rStyle w:val="16"/>
          <w:rFonts w:ascii="Times New Roman" w:hAnsi="Times New Roman" w:cs="Times New Roman"/>
          <w:color w:val="auto"/>
        </w:rPr>
        <w:t>留样应能够代表被取样批次的物料或产品；</w:t>
      </w:r>
    </w:p>
    <w:p w14:paraId="7A149222">
      <w:pPr>
        <w:pStyle w:val="15"/>
        <w:numPr>
          <w:ilvl w:val="0"/>
          <w:numId w:val="8"/>
        </w:numPr>
        <w:tabs>
          <w:tab w:val="left" w:pos="1258"/>
        </w:tabs>
        <w:spacing w:after="300" w:line="360" w:lineRule="auto"/>
        <w:ind w:left="1260" w:hanging="420"/>
        <w:rPr>
          <w:rFonts w:ascii="Times New Roman" w:hAnsi="Times New Roman" w:cs="Times New Roman"/>
          <w:color w:val="auto"/>
        </w:rPr>
      </w:pPr>
      <w:r>
        <w:rPr>
          <w:rStyle w:val="16"/>
          <w:rFonts w:ascii="Times New Roman" w:hAnsi="Times New Roman" w:cs="Times New Roman"/>
          <w:color w:val="auto"/>
        </w:rPr>
        <w:t>成品的留样：成品宜按批次进行留样；留样的包装形式宜与市售包装形式相同；每批成品 的留样数量应能够满足复检要求；保存期间内应对留样进行目检观察，如有异常，应进行 彻底调查并采取相应的处理措施；留样观察应有记录；留样应按照贮存条件至少保存至产 品保质期满；没有明确保质期的，保存期限不应少于2年。</w:t>
      </w:r>
    </w:p>
    <w:p w14:paraId="356E0718">
      <w:pPr>
        <w:tabs>
          <w:tab w:val="left" w:pos="8491"/>
        </w:tabs>
        <w:rPr>
          <w:color w:val="auto"/>
          <w:lang w:eastAsia="zh-CN"/>
        </w:rPr>
      </w:pPr>
    </w:p>
    <w:p w14:paraId="032EA544">
      <w:pPr>
        <w:rPr>
          <w:color w:val="auto"/>
        </w:rPr>
      </w:pPr>
    </w:p>
    <w:sectPr>
      <w:pgSz w:w="11909" w:h="16838"/>
      <w:pgMar w:top="1440" w:right="1800" w:bottom="1440" w:left="1800" w:header="1134" w:footer="1134" w:gutter="0"/>
      <w:pgNumType w:fmt="decimal"/>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121F1">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E1DCE">
    <w:pPr>
      <w:pStyle w:val="5"/>
      <w:jc w:val="right"/>
    </w:pPr>
    <w:r>
      <w:rPr>
        <w:sz w:val="18"/>
      </w:rP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6696975"/>
                            <w:docPartObj>
                              <w:docPartGallery w:val="autotext"/>
                            </w:docPartObj>
                          </w:sdtPr>
                          <w:sdtContent>
                            <w:p w14:paraId="3148B418">
                              <w:pPr>
                                <w:pStyle w:val="5"/>
                                <w:jc w:val="right"/>
                              </w:pPr>
                              <w:r>
                                <w:fldChar w:fldCharType="begin"/>
                              </w:r>
                              <w:r>
                                <w:instrText xml:space="preserve">PAGE   \* MERGEFORMAT</w:instrText>
                              </w:r>
                              <w:r>
                                <w:fldChar w:fldCharType="separate"/>
                              </w:r>
                              <w:r>
                                <w:rPr>
                                  <w:lang w:val="zh-CN" w:eastAsia="zh-CN"/>
                                </w:rPr>
                                <w:t>2</w:t>
                              </w:r>
                              <w:r>
                                <w:fldChar w:fldCharType="end"/>
                              </w:r>
                            </w:p>
                          </w:sdtContent>
                        </w:sdt>
                        <w:p w14:paraId="3A2BB7B3"/>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sdt>
                    <w:sdtPr>
                      <w:id w:val="-1346696975"/>
                      <w:docPartObj>
                        <w:docPartGallery w:val="autotext"/>
                      </w:docPartObj>
                    </w:sdtPr>
                    <w:sdtContent>
                      <w:p w14:paraId="3148B418">
                        <w:pPr>
                          <w:pStyle w:val="5"/>
                          <w:jc w:val="right"/>
                        </w:pPr>
                        <w:r>
                          <w:fldChar w:fldCharType="begin"/>
                        </w:r>
                        <w:r>
                          <w:instrText xml:space="preserve">PAGE   \* MERGEFORMAT</w:instrText>
                        </w:r>
                        <w:r>
                          <w:fldChar w:fldCharType="separate"/>
                        </w:r>
                        <w:r>
                          <w:rPr>
                            <w:lang w:val="zh-CN" w:eastAsia="zh-CN"/>
                          </w:rPr>
                          <w:t>2</w:t>
                        </w:r>
                        <w:r>
                          <w:fldChar w:fldCharType="end"/>
                        </w:r>
                      </w:p>
                    </w:sdtContent>
                  </w:sdt>
                  <w:p w14:paraId="3A2BB7B3"/>
                </w:txbxContent>
              </v:textbox>
            </v:shape>
          </w:pict>
        </mc:Fallback>
      </mc:AlternateContent>
    </w:r>
  </w:p>
  <w:p w14:paraId="3DE2D8AE">
    <w:pPr>
      <w:spacing w:line="1"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EFB2A">
    <w:pPr>
      <w:spacing w:line="1" w:lineRule="exact"/>
    </w:pPr>
    <w:r>
      <mc:AlternateContent>
        <mc:Choice Requires="wps">
          <w:drawing>
            <wp:anchor distT="0" distB="0" distL="0" distR="0" simplePos="0" relativeHeight="251660288" behindDoc="1" locked="0" layoutInCell="1" allowOverlap="1">
              <wp:simplePos x="0" y="0"/>
              <wp:positionH relativeFrom="page">
                <wp:posOffset>6558915</wp:posOffset>
              </wp:positionH>
              <wp:positionV relativeFrom="page">
                <wp:posOffset>9860280</wp:posOffset>
              </wp:positionV>
              <wp:extent cx="94615" cy="76200"/>
              <wp:effectExtent l="0" t="0" r="0" b="0"/>
              <wp:wrapNone/>
              <wp:docPr id="15" name="Shape 15"/>
              <wp:cNvGraphicFramePr/>
              <a:graphic xmlns:a="http://schemas.openxmlformats.org/drawingml/2006/main">
                <a:graphicData uri="http://schemas.microsoft.com/office/word/2010/wordprocessingShape">
                  <wps:wsp>
                    <wps:cNvSpPr txBox="1"/>
                    <wps:spPr>
                      <a:xfrm>
                        <a:off x="0" y="0"/>
                        <a:ext cx="94615" cy="76200"/>
                      </a:xfrm>
                      <a:prstGeom prst="rect">
                        <a:avLst/>
                      </a:prstGeom>
                      <a:noFill/>
                    </wps:spPr>
                    <wps:txbx>
                      <w:txbxContent>
                        <w:p w14:paraId="7396DFE5">
                          <w:pPr>
                            <w:pStyle w:val="19"/>
                            <w:rPr>
                              <w:sz w:val="18"/>
                              <w:szCs w:val="18"/>
                            </w:rPr>
                          </w:pPr>
                          <w:r>
                            <w:fldChar w:fldCharType="begin"/>
                          </w:r>
                          <w:r>
                            <w:instrText xml:space="preserve"> PAGE \* MERGEFORMAT </w:instrText>
                          </w:r>
                          <w:r>
                            <w:fldChar w:fldCharType="separate"/>
                          </w:r>
                          <w:r>
                            <w:rPr>
                              <w:rStyle w:val="20"/>
                              <w:rFonts w:ascii="宋体" w:hAnsi="宋体" w:eastAsia="宋体" w:cs="宋体"/>
                              <w:sz w:val="18"/>
                              <w:szCs w:val="18"/>
                              <w:lang w:val="en-US" w:eastAsia="en-US" w:bidi="en-US"/>
                            </w:rPr>
                            <w:t>#</w:t>
                          </w:r>
                          <w:r>
                            <w:rPr>
                              <w:rStyle w:val="20"/>
                              <w:rFonts w:ascii="宋体" w:hAnsi="宋体" w:eastAsia="宋体" w:cs="宋体"/>
                              <w:sz w:val="18"/>
                              <w:szCs w:val="18"/>
                              <w:lang w:val="en-US" w:eastAsia="en-US" w:bidi="en-US"/>
                            </w:rPr>
                            <w:fldChar w:fldCharType="end"/>
                          </w:r>
                        </w:p>
                      </w:txbxContent>
                    </wps:txbx>
                    <wps:bodyPr wrap="none" lIns="0" tIns="0" rIns="0" bIns="0">
                      <a:spAutoFit/>
                    </wps:bodyPr>
                  </wps:wsp>
                </a:graphicData>
              </a:graphic>
            </wp:anchor>
          </w:drawing>
        </mc:Choice>
        <mc:Fallback>
          <w:pict>
            <v:shape id="Shape 15" o:spid="_x0000_s1026" o:spt="202" type="#_x0000_t202" style="position:absolute;left:0pt;margin-left:516.45pt;margin-top:776.4pt;height:6pt;width:7.45pt;mso-position-horizontal-relative:page;mso-position-vertical-relative:page;mso-wrap-style:none;z-index:-251656192;mso-width-relative:page;mso-height-relative:page;" filled="f" stroked="f" coordsize="21600,21600" o:gfxdata="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LHNmH3XAAAADwEA&#10;AA8AAAAAAAAAAQAgAAAAIgAAAGRycy9kb3ducmV2LnhtbFBLAQIUABQAAAAIAIdO4kB1N7OGqQEA&#10;AG8DAAAOAAAAAAAAAAEAIAAAACYBAABkcnMvZTJvRG9jLnhtbFBLBQYAAAAABgAGAFkBAABBBQAA&#10;AAA=&#10;">
              <v:fill on="f" focussize="0,0"/>
              <v:stroke on="f"/>
              <v:imagedata o:title=""/>
              <o:lock v:ext="edit" aspectratio="f"/>
              <v:textbox inset="0mm,0mm,0mm,0mm" style="mso-fit-shape-to-text:t;">
                <w:txbxContent>
                  <w:p w14:paraId="7396DFE5">
                    <w:pPr>
                      <w:pStyle w:val="19"/>
                      <w:rPr>
                        <w:sz w:val="18"/>
                        <w:szCs w:val="18"/>
                      </w:rPr>
                    </w:pPr>
                    <w:r>
                      <w:fldChar w:fldCharType="begin"/>
                    </w:r>
                    <w:r>
                      <w:instrText xml:space="preserve"> PAGE \* MERGEFORMAT </w:instrText>
                    </w:r>
                    <w:r>
                      <w:fldChar w:fldCharType="separate"/>
                    </w:r>
                    <w:r>
                      <w:rPr>
                        <w:rStyle w:val="20"/>
                        <w:rFonts w:ascii="宋体" w:hAnsi="宋体" w:eastAsia="宋体" w:cs="宋体"/>
                        <w:sz w:val="18"/>
                        <w:szCs w:val="18"/>
                        <w:lang w:val="en-US" w:eastAsia="en-US" w:bidi="en-US"/>
                      </w:rPr>
                      <w:t>#</w:t>
                    </w:r>
                    <w:r>
                      <w:rPr>
                        <w:rStyle w:val="20"/>
                        <w:rFonts w:ascii="宋体" w:hAnsi="宋体" w:eastAsia="宋体" w:cs="宋体"/>
                        <w:sz w:val="18"/>
                        <w:szCs w:val="18"/>
                        <w:lang w:val="en-US" w:eastAsia="en-US" w:bidi="en-US"/>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6B8DB0">
    <w:pPr>
      <w:pStyle w:val="5"/>
      <w:jc w:val="right"/>
    </w:pPr>
    <w:r>
      <w:rPr>
        <w:sz w:val="18"/>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6996"/>
                            <w:docPartObj>
                              <w:docPartGallery w:val="autotext"/>
                            </w:docPartObj>
                          </w:sdtPr>
                          <w:sdtContent>
                            <w:p w14:paraId="35CB19FD">
                              <w:pPr>
                                <w:pStyle w:val="5"/>
                                <w:jc w:val="right"/>
                              </w:pPr>
                              <w:r>
                                <w:fldChar w:fldCharType="begin"/>
                              </w:r>
                              <w:r>
                                <w:instrText xml:space="preserve">PAGE   \* MERGEFORMAT</w:instrText>
                              </w:r>
                              <w:r>
                                <w:fldChar w:fldCharType="separate"/>
                              </w:r>
                              <w:r>
                                <w:rPr>
                                  <w:lang w:val="zh-CN" w:eastAsia="zh-CN"/>
                                </w:rPr>
                                <w:t>2</w:t>
                              </w:r>
                              <w:r>
                                <w:fldChar w:fldCharType="end"/>
                              </w:r>
                            </w:p>
                          </w:sdtContent>
                        </w:sdt>
                        <w:p w14:paraId="528F3C86"/>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sdt>
                    <w:sdtPr>
                      <w:id w:val="147456996"/>
                      <w:docPartObj>
                        <w:docPartGallery w:val="autotext"/>
                      </w:docPartObj>
                    </w:sdtPr>
                    <w:sdtContent>
                      <w:p w14:paraId="35CB19FD">
                        <w:pPr>
                          <w:pStyle w:val="5"/>
                          <w:jc w:val="right"/>
                        </w:pPr>
                        <w:r>
                          <w:fldChar w:fldCharType="begin"/>
                        </w:r>
                        <w:r>
                          <w:instrText xml:space="preserve">PAGE   \* MERGEFORMAT</w:instrText>
                        </w:r>
                        <w:r>
                          <w:fldChar w:fldCharType="separate"/>
                        </w:r>
                        <w:r>
                          <w:rPr>
                            <w:lang w:val="zh-CN" w:eastAsia="zh-CN"/>
                          </w:rPr>
                          <w:t>2</w:t>
                        </w:r>
                        <w:r>
                          <w:fldChar w:fldCharType="end"/>
                        </w:r>
                      </w:p>
                    </w:sdtContent>
                  </w:sdt>
                  <w:p w14:paraId="528F3C86"/>
                </w:txbxContent>
              </v:textbox>
            </v:shape>
          </w:pict>
        </mc:Fallback>
      </mc:AlternateContent>
    </w:r>
  </w:p>
  <w:p w14:paraId="2E5C3C6F">
    <w:pPr>
      <w:spacing w:line="1" w:lineRule="exac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24507">
    <w:pPr>
      <w:spacing w:line="1" w:lineRule="exact"/>
    </w:pPr>
    <w:r>
      <mc:AlternateContent>
        <mc:Choice Requires="wps">
          <w:drawing>
            <wp:anchor distT="0" distB="0" distL="0" distR="0" simplePos="0" relativeHeight="251662336" behindDoc="1" locked="0" layoutInCell="1" allowOverlap="1">
              <wp:simplePos x="0" y="0"/>
              <wp:positionH relativeFrom="page">
                <wp:posOffset>823595</wp:posOffset>
              </wp:positionH>
              <wp:positionV relativeFrom="page">
                <wp:posOffset>9857105</wp:posOffset>
              </wp:positionV>
              <wp:extent cx="97790" cy="79375"/>
              <wp:effectExtent l="0" t="0" r="0" b="0"/>
              <wp:wrapNone/>
              <wp:docPr id="31" name="Shape 31"/>
              <wp:cNvGraphicFramePr/>
              <a:graphic xmlns:a="http://schemas.openxmlformats.org/drawingml/2006/main">
                <a:graphicData uri="http://schemas.microsoft.com/office/word/2010/wordprocessingShape">
                  <wps:wsp>
                    <wps:cNvSpPr txBox="1"/>
                    <wps:spPr>
                      <a:xfrm>
                        <a:off x="0" y="0"/>
                        <a:ext cx="97790" cy="79375"/>
                      </a:xfrm>
                      <a:prstGeom prst="rect">
                        <a:avLst/>
                      </a:prstGeom>
                      <a:noFill/>
                    </wps:spPr>
                    <wps:txbx>
                      <w:txbxContent>
                        <w:p w14:paraId="4D14A525">
                          <w:pPr>
                            <w:pStyle w:val="19"/>
                            <w:rPr>
                              <w:sz w:val="18"/>
                              <w:szCs w:val="18"/>
                            </w:rPr>
                          </w:pPr>
                          <w:r>
                            <w:fldChar w:fldCharType="begin"/>
                          </w:r>
                          <w:r>
                            <w:instrText xml:space="preserve"> PAGE \* MERGEFORMAT </w:instrText>
                          </w:r>
                          <w:r>
                            <w:fldChar w:fldCharType="separate"/>
                          </w:r>
                          <w:r>
                            <w:rPr>
                              <w:rStyle w:val="20"/>
                              <w:rFonts w:ascii="宋体" w:hAnsi="宋体" w:eastAsia="宋体" w:cs="宋体"/>
                              <w:sz w:val="18"/>
                              <w:szCs w:val="18"/>
                            </w:rPr>
                            <w:t>#</w:t>
                          </w:r>
                          <w:r>
                            <w:rPr>
                              <w:rStyle w:val="20"/>
                              <w:rFonts w:ascii="宋体" w:hAnsi="宋体" w:eastAsia="宋体" w:cs="宋体"/>
                              <w:sz w:val="18"/>
                              <w:szCs w:val="18"/>
                            </w:rPr>
                            <w:fldChar w:fldCharType="end"/>
                          </w:r>
                        </w:p>
                      </w:txbxContent>
                    </wps:txbx>
                    <wps:bodyPr wrap="none" lIns="0" tIns="0" rIns="0" bIns="0">
                      <a:spAutoFit/>
                    </wps:bodyPr>
                  </wps:wsp>
                </a:graphicData>
              </a:graphic>
            </wp:anchor>
          </w:drawing>
        </mc:Choice>
        <mc:Fallback>
          <w:pict>
            <v:shape id="Shape 31" o:spid="_x0000_s1026" o:spt="202" type="#_x0000_t202" style="position:absolute;left:0pt;margin-left:64.85pt;margin-top:776.15pt;height:6.25pt;width:7.7pt;mso-position-horizontal-relative:page;mso-position-vertical-relative:page;mso-wrap-style:none;z-index:-251654144;mso-width-relative:page;mso-height-relative:page;" filled="f" stroked="f" coordsize="21600,21600" o:gfxdata="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Pu++52AAA&#10;AA0BAAAPAAAAAAAAAAEAIAAAACIAAABkcnMvZG93bnJldi54bWxQSwECFAAUAAAACACHTuJA9qGS&#10;U6wBAABvAwAADgAAAAAAAAABACAAAAAnAQAAZHJzL2Uyb0RvYy54bWxQSwUGAAAAAAYABgBZAQAA&#10;RQUAAAAA&#10;">
              <v:fill on="f" focussize="0,0"/>
              <v:stroke on="f"/>
              <v:imagedata o:title=""/>
              <o:lock v:ext="edit" aspectratio="f"/>
              <v:textbox inset="0mm,0mm,0mm,0mm" style="mso-fit-shape-to-text:t;">
                <w:txbxContent>
                  <w:p w14:paraId="4D14A525">
                    <w:pPr>
                      <w:pStyle w:val="19"/>
                      <w:rPr>
                        <w:sz w:val="18"/>
                        <w:szCs w:val="18"/>
                      </w:rPr>
                    </w:pPr>
                    <w:r>
                      <w:fldChar w:fldCharType="begin"/>
                    </w:r>
                    <w:r>
                      <w:instrText xml:space="preserve"> PAGE \* MERGEFORMAT </w:instrText>
                    </w:r>
                    <w:r>
                      <w:fldChar w:fldCharType="separate"/>
                    </w:r>
                    <w:r>
                      <w:rPr>
                        <w:rStyle w:val="20"/>
                        <w:rFonts w:ascii="宋体" w:hAnsi="宋体" w:eastAsia="宋体" w:cs="宋体"/>
                        <w:sz w:val="18"/>
                        <w:szCs w:val="18"/>
                      </w:rPr>
                      <w:t>#</w:t>
                    </w:r>
                    <w:r>
                      <w:rPr>
                        <w:rStyle w:val="20"/>
                        <w:rFonts w:ascii="宋体" w:hAnsi="宋体" w:eastAsia="宋体" w:cs="宋体"/>
                        <w:sz w:val="18"/>
                        <w:szCs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51601">
    <w:pPr>
      <w:pStyle w:val="5"/>
    </w:pPr>
    <w:r>
      <w:rPr>
        <w:sz w:val="18"/>
      </w:rP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F69218">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19F69218">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7A53E2">
    <w:pPr>
      <w:pStyle w:val="6"/>
      <w:wordWrap w:val="0"/>
      <w:ind w:firstLine="48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FE5C7">
    <w:pPr>
      <w:pStyle w:val="6"/>
      <w:wordWrap w:val="0"/>
      <w:ind w:firstLine="480"/>
      <w:jc w:val="right"/>
    </w:pPr>
    <w:r>
      <w:rPr>
        <w:sz w:val="24"/>
        <w:szCs w:val="40"/>
      </w:rPr>
      <w:t xml:space="preserve">DB36/T </w:t>
    </w:r>
    <w:r>
      <w:rPr>
        <w:rFonts w:hint="eastAsia" w:eastAsia="宋体"/>
        <w:sz w:val="24"/>
        <w:szCs w:val="40"/>
        <w:lang w:val="en-US" w:eastAsia="zh-CN"/>
      </w:rPr>
      <w:t>×××-</w:t>
    </w:r>
    <w:r>
      <w:rPr>
        <w:sz w:val="24"/>
        <w:szCs w:val="40"/>
      </w:rPr>
      <w:t>2023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11FF3">
    <w:pPr>
      <w:pStyle w:val="6"/>
      <w:wordWrap w:val="0"/>
      <w:ind w:firstLine="480"/>
      <w:jc w:val="right"/>
      <w:rPr>
        <w:rFonts w:hint="eastAsia" w:eastAsia="宋体"/>
        <w:sz w:val="24"/>
        <w:szCs w:val="40"/>
        <w:lang w:eastAsia="zh-CN"/>
      </w:rPr>
    </w:pPr>
    <w:r>
      <w:rPr>
        <w:rFonts w:hint="eastAsia" w:eastAsia="宋体"/>
        <w:lang w:eastAsia="zh-CN"/>
      </w:rPr>
      <w:tab/>
    </w:r>
    <w:r>
      <w:rPr>
        <w:sz w:val="24"/>
        <w:szCs w:val="40"/>
      </w:rPr>
      <w:t xml:space="preserve">DB36/T </w:t>
    </w:r>
    <w:r>
      <w:rPr>
        <w:rFonts w:hint="eastAsia" w:eastAsia="宋体"/>
        <w:sz w:val="24"/>
        <w:szCs w:val="40"/>
        <w:lang w:val="en-US" w:eastAsia="zh-CN"/>
      </w:rPr>
      <w:t>×××-</w:t>
    </w:r>
    <w:r>
      <w:rPr>
        <w:sz w:val="24"/>
        <w:szCs w:val="40"/>
      </w:rPr>
      <w:t>202</w:t>
    </w:r>
    <w:r>
      <w:rPr>
        <w:rFonts w:hint="eastAsia" w:eastAsia="宋体"/>
        <w:sz w:val="24"/>
        <w:szCs w:val="40"/>
        <w:lang w:val="en-US" w:eastAsia="zh-CN"/>
      </w:rPr>
      <w:t>4</w:t>
    </w:r>
  </w:p>
  <w:p w14:paraId="41EF25A8">
    <w:pPr>
      <w:pStyle w:val="6"/>
      <w:tabs>
        <w:tab w:val="left" w:pos="1639"/>
      </w:tabs>
      <w:wordWrap w:val="0"/>
      <w:jc w:val="left"/>
      <w:rPr>
        <w:rFonts w:hint="eastAsia" w:eastAsia="宋体"/>
        <w:lang w:eastAsia="zh-CN"/>
      </w:rPr>
    </w:pPr>
    <w:r>
      <w:rPr>
        <w:rFonts w:hint="eastAsia" w:eastAsia="宋体"/>
        <w:lang w:eastAsia="zh-CN"/>
      </w:rPr>
      <w:tab/>
    </w:r>
    <w:r>
      <w:rPr>
        <w:rFonts w:hint="eastAsia" w:eastAsia="宋体"/>
        <w:lang w:eastAsia="zh-CN"/>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40CC2">
    <w:pPr>
      <w:spacing w:line="1" w:lineRule="exact"/>
    </w:pPr>
    <w:r>
      <mc:AlternateContent>
        <mc:Choice Requires="wps">
          <w:drawing>
            <wp:anchor distT="0" distB="0" distL="0" distR="0" simplePos="0" relativeHeight="251659264" behindDoc="1" locked="0" layoutInCell="1" allowOverlap="1">
              <wp:simplePos x="0" y="0"/>
              <wp:positionH relativeFrom="page">
                <wp:posOffset>5534660</wp:posOffset>
              </wp:positionH>
              <wp:positionV relativeFrom="page">
                <wp:posOffset>938530</wp:posOffset>
              </wp:positionV>
              <wp:extent cx="1121410" cy="100330"/>
              <wp:effectExtent l="0" t="0" r="0" b="0"/>
              <wp:wrapNone/>
              <wp:docPr id="13" name="Shape 13"/>
              <wp:cNvGraphicFramePr/>
              <a:graphic xmlns:a="http://schemas.openxmlformats.org/drawingml/2006/main">
                <a:graphicData uri="http://schemas.microsoft.com/office/word/2010/wordprocessingShape">
                  <wps:wsp>
                    <wps:cNvSpPr txBox="1"/>
                    <wps:spPr>
                      <a:xfrm>
                        <a:off x="0" y="0"/>
                        <a:ext cx="1121410" cy="100330"/>
                      </a:xfrm>
                      <a:prstGeom prst="rect">
                        <a:avLst/>
                      </a:prstGeom>
                      <a:noFill/>
                    </wps:spPr>
                    <wps:txbx>
                      <w:txbxContent>
                        <w:p w14:paraId="0134EF8F">
                          <w:pPr>
                            <w:pStyle w:val="19"/>
                          </w:pPr>
                          <w:r>
                            <w:rPr>
                              <w:rStyle w:val="20"/>
                              <w:rFonts w:ascii="黑体" w:hAnsi="黑体" w:eastAsia="黑体" w:cs="黑体"/>
                              <w:lang w:val="en-US" w:eastAsia="en-US" w:bidi="en-US"/>
                            </w:rPr>
                            <w:t>DB</w:t>
                          </w:r>
                          <w:r>
                            <w:rPr>
                              <w:rStyle w:val="20"/>
                              <w:rFonts w:hint="eastAsia" w:ascii="黑体" w:hAnsi="黑体" w:eastAsia="黑体" w:cs="黑体"/>
                              <w:lang w:val="en-US" w:bidi="en-US"/>
                            </w:rPr>
                            <w:t>36</w:t>
                          </w:r>
                          <w:r>
                            <w:rPr>
                              <w:rStyle w:val="20"/>
                              <w:rFonts w:ascii="黑体" w:hAnsi="黑体" w:eastAsia="黑体" w:cs="黑体"/>
                              <w:lang w:val="en-US" w:eastAsia="en-US" w:bidi="en-US"/>
                            </w:rPr>
                            <w:t xml:space="preserve">/T </w:t>
                          </w:r>
                          <w:r>
                            <w:rPr>
                              <w:rStyle w:val="20"/>
                              <w:rFonts w:hint="eastAsia" w:ascii="黑体" w:hAnsi="黑体" w:eastAsia="黑体" w:cs="黑体"/>
                              <w:lang w:val="en-US"/>
                            </w:rPr>
                            <w:t>****</w:t>
                          </w:r>
                          <w:r>
                            <w:rPr>
                              <w:rStyle w:val="20"/>
                              <w:rFonts w:ascii="黑体" w:hAnsi="黑体" w:eastAsia="黑体" w:cs="黑体"/>
                            </w:rPr>
                            <w:t>—202</w:t>
                          </w:r>
                          <w:r>
                            <w:rPr>
                              <w:rStyle w:val="20"/>
                              <w:rFonts w:hint="eastAsia" w:ascii="黑体" w:hAnsi="黑体" w:eastAsia="黑体" w:cs="黑体"/>
                              <w:lang w:val="en-US"/>
                            </w:rPr>
                            <w:t>3</w:t>
                          </w:r>
                        </w:p>
                        <w:p w14:paraId="08D061C5"/>
                      </w:txbxContent>
                    </wps:txbx>
                    <wps:bodyPr wrap="none" lIns="0" tIns="0" rIns="0" bIns="0">
                      <a:spAutoFit/>
                    </wps:bodyPr>
                  </wps:wsp>
                </a:graphicData>
              </a:graphic>
            </wp:anchor>
          </w:drawing>
        </mc:Choice>
        <mc:Fallback>
          <w:pict>
            <v:shape id="Shape 13" o:spid="_x0000_s1026" o:spt="202" type="#_x0000_t202" style="position:absolute;left:0pt;margin-left:435.8pt;margin-top:73.9pt;height:7.9pt;width:88.3pt;mso-position-horizontal-relative:page;mso-position-vertical-relative:page;mso-wrap-style:none;z-index:-251657216;mso-width-relative:page;mso-height-relative:page;" filled="f" stroked="f" coordsize="21600,21600" o:gfxdata="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FvTH01wAA&#10;AAwBAAAPAAAAAAAAAAEAIAAAACIAAABkcnMvZG93bnJldi54bWxQSwECFAAUAAAACACHTuJArvfT&#10;2K0BAAByAwAADgAAAAAAAAABACAAAAAmAQAAZHJzL2Uyb0RvYy54bWxQSwUGAAAAAAYABgBZAQAA&#10;RQUAAAAA&#10;">
              <v:fill on="f" focussize="0,0"/>
              <v:stroke on="f"/>
              <v:imagedata o:title=""/>
              <o:lock v:ext="edit" aspectratio="f"/>
              <v:textbox inset="0mm,0mm,0mm,0mm" style="mso-fit-shape-to-text:t;">
                <w:txbxContent>
                  <w:p w14:paraId="0134EF8F">
                    <w:pPr>
                      <w:pStyle w:val="19"/>
                    </w:pPr>
                    <w:r>
                      <w:rPr>
                        <w:rStyle w:val="20"/>
                        <w:rFonts w:ascii="黑体" w:hAnsi="黑体" w:eastAsia="黑体" w:cs="黑体"/>
                        <w:lang w:val="en-US" w:eastAsia="en-US" w:bidi="en-US"/>
                      </w:rPr>
                      <w:t>DB</w:t>
                    </w:r>
                    <w:r>
                      <w:rPr>
                        <w:rStyle w:val="20"/>
                        <w:rFonts w:hint="eastAsia" w:ascii="黑体" w:hAnsi="黑体" w:eastAsia="黑体" w:cs="黑体"/>
                        <w:lang w:val="en-US" w:bidi="en-US"/>
                      </w:rPr>
                      <w:t>36</w:t>
                    </w:r>
                    <w:r>
                      <w:rPr>
                        <w:rStyle w:val="20"/>
                        <w:rFonts w:ascii="黑体" w:hAnsi="黑体" w:eastAsia="黑体" w:cs="黑体"/>
                        <w:lang w:val="en-US" w:eastAsia="en-US" w:bidi="en-US"/>
                      </w:rPr>
                      <w:t xml:space="preserve">/T </w:t>
                    </w:r>
                    <w:r>
                      <w:rPr>
                        <w:rStyle w:val="20"/>
                        <w:rFonts w:hint="eastAsia" w:ascii="黑体" w:hAnsi="黑体" w:eastAsia="黑体" w:cs="黑体"/>
                        <w:lang w:val="en-US"/>
                      </w:rPr>
                      <w:t>****</w:t>
                    </w:r>
                    <w:r>
                      <w:rPr>
                        <w:rStyle w:val="20"/>
                        <w:rFonts w:ascii="黑体" w:hAnsi="黑体" w:eastAsia="黑体" w:cs="黑体"/>
                      </w:rPr>
                      <w:t>—202</w:t>
                    </w:r>
                    <w:r>
                      <w:rPr>
                        <w:rStyle w:val="20"/>
                        <w:rFonts w:hint="eastAsia" w:ascii="黑体" w:hAnsi="黑体" w:eastAsia="黑体" w:cs="黑体"/>
                        <w:lang w:val="en-US"/>
                      </w:rPr>
                      <w:t>3</w:t>
                    </w:r>
                  </w:p>
                  <w:p w14:paraId="08D061C5"/>
                </w:txbxContent>
              </v:textbox>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A74EE">
    <w:pPr>
      <w:pStyle w:val="6"/>
      <w:wordWrap w:val="0"/>
      <w:ind w:firstLine="480"/>
      <w:jc w:val="right"/>
      <w:rPr>
        <w:sz w:val="24"/>
        <w:szCs w:val="40"/>
      </w:rPr>
    </w:pPr>
    <w:r>
      <w:rPr>
        <w:sz w:val="24"/>
        <w:szCs w:val="40"/>
      </w:rPr>
      <w:t xml:space="preserve">DB36/T </w:t>
    </w:r>
    <w:r>
      <w:rPr>
        <w:rFonts w:hint="eastAsia" w:eastAsia="宋体"/>
        <w:sz w:val="24"/>
        <w:szCs w:val="40"/>
        <w:lang w:val="en-US" w:eastAsia="zh-CN"/>
      </w:rPr>
      <w:t>×××-</w:t>
    </w:r>
    <w:r>
      <w:rPr>
        <w:sz w:val="24"/>
        <w:szCs w:val="40"/>
      </w:rPr>
      <w:t>2023</w:t>
    </w:r>
  </w:p>
  <w:p w14:paraId="68607CBD">
    <w:pPr>
      <w:spacing w:line="1"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1A6C56">
    <w:pPr>
      <w:spacing w:line="1" w:lineRule="exact"/>
    </w:pPr>
    <w:r>
      <mc:AlternateContent>
        <mc:Choice Requires="wps">
          <w:drawing>
            <wp:anchor distT="0" distB="0" distL="0" distR="0" simplePos="0" relativeHeight="251661312" behindDoc="1" locked="0" layoutInCell="1" allowOverlap="1">
              <wp:simplePos x="0" y="0"/>
              <wp:positionH relativeFrom="page">
                <wp:posOffset>818515</wp:posOffset>
              </wp:positionH>
              <wp:positionV relativeFrom="page">
                <wp:posOffset>923925</wp:posOffset>
              </wp:positionV>
              <wp:extent cx="1121410" cy="100330"/>
              <wp:effectExtent l="0" t="0" r="0" b="0"/>
              <wp:wrapNone/>
              <wp:docPr id="29" name="Shape 29"/>
              <wp:cNvGraphicFramePr/>
              <a:graphic xmlns:a="http://schemas.openxmlformats.org/drawingml/2006/main">
                <a:graphicData uri="http://schemas.microsoft.com/office/word/2010/wordprocessingShape">
                  <wps:wsp>
                    <wps:cNvSpPr txBox="1"/>
                    <wps:spPr>
                      <a:xfrm>
                        <a:off x="0" y="0"/>
                        <a:ext cx="1121410" cy="100330"/>
                      </a:xfrm>
                      <a:prstGeom prst="rect">
                        <a:avLst/>
                      </a:prstGeom>
                      <a:noFill/>
                    </wps:spPr>
                    <wps:txbx>
                      <w:txbxContent>
                        <w:p w14:paraId="53C03AA0">
                          <w:pPr>
                            <w:pStyle w:val="19"/>
                          </w:pPr>
                          <w:r>
                            <w:rPr>
                              <w:rStyle w:val="20"/>
                              <w:rFonts w:ascii="黑体" w:hAnsi="黑体" w:eastAsia="黑体" w:cs="黑体"/>
                              <w:lang w:val="en-US" w:eastAsia="en-US" w:bidi="en-US"/>
                            </w:rPr>
                            <w:t xml:space="preserve">DB11/T </w:t>
                          </w:r>
                          <w:r>
                            <w:rPr>
                              <w:rStyle w:val="20"/>
                              <w:rFonts w:ascii="黑体" w:hAnsi="黑体" w:eastAsia="黑体" w:cs="黑体"/>
                            </w:rPr>
                            <w:t>1797—2020</w:t>
                          </w:r>
                        </w:p>
                      </w:txbxContent>
                    </wps:txbx>
                    <wps:bodyPr wrap="none" lIns="0" tIns="0" rIns="0" bIns="0">
                      <a:spAutoFit/>
                    </wps:bodyPr>
                  </wps:wsp>
                </a:graphicData>
              </a:graphic>
            </wp:anchor>
          </w:drawing>
        </mc:Choice>
        <mc:Fallback>
          <w:pict>
            <v:shape id="Shape 29" o:spid="_x0000_s1026" o:spt="202" type="#_x0000_t202" style="position:absolute;left:0pt;margin-left:64.45pt;margin-top:72.75pt;height:7.9pt;width:88.3pt;mso-position-horizontal-relative:page;mso-position-vertical-relative:page;mso-wrap-style:none;z-index:-251655168;mso-width-relative:page;mso-height-relative:page;" filled="f" stroked="f" coordsize="21600,21600" o:gfxdata="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FeRGt1gAA&#10;AAsBAAAPAAAAAAAAAAEAIAAAACIAAABkcnMvZG93bnJldi54bWxQSwECFAAUAAAACACHTuJA4KNA&#10;Da4BAAByAwAADgAAAAAAAAABACAAAAAlAQAAZHJzL2Uyb0RvYy54bWxQSwUGAAAAAAYABgBZAQAA&#10;RQUAAAAA&#10;">
              <v:fill on="f" focussize="0,0"/>
              <v:stroke on="f"/>
              <v:imagedata o:title=""/>
              <o:lock v:ext="edit" aspectratio="f"/>
              <v:textbox inset="0mm,0mm,0mm,0mm" style="mso-fit-shape-to-text:t;">
                <w:txbxContent>
                  <w:p w14:paraId="53C03AA0">
                    <w:pPr>
                      <w:pStyle w:val="19"/>
                    </w:pPr>
                    <w:r>
                      <w:rPr>
                        <w:rStyle w:val="20"/>
                        <w:rFonts w:ascii="黑体" w:hAnsi="黑体" w:eastAsia="黑体" w:cs="黑体"/>
                        <w:lang w:val="en-US" w:eastAsia="en-US" w:bidi="en-US"/>
                      </w:rPr>
                      <w:t xml:space="preserve">DB11/T </w:t>
                    </w:r>
                    <w:r>
                      <w:rPr>
                        <w:rStyle w:val="20"/>
                        <w:rFonts w:ascii="黑体" w:hAnsi="黑体" w:eastAsia="黑体" w:cs="黑体"/>
                      </w:rPr>
                      <w:t>1797—2020</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decimal"/>
      <w:lvlText w:val="%1)"/>
      <w:lvlJc w:val="left"/>
      <w:rPr>
        <w:rFonts w:ascii="宋体" w:hAnsi="宋体" w:eastAsia="宋体" w:cs="宋体"/>
        <w:b w:val="0"/>
        <w:bCs w:val="0"/>
        <w:i w:val="0"/>
        <w:iCs w:val="0"/>
        <w:smallCaps w:val="0"/>
        <w:strike w:val="0"/>
        <w:color w:val="000000"/>
        <w:spacing w:val="0"/>
        <w:w w:val="100"/>
        <w:position w:val="0"/>
        <w:sz w:val="20"/>
        <w:szCs w:val="20"/>
        <w:u w:val="none"/>
        <w:shd w:val="clear" w:color="auto" w:fill="auto"/>
        <w:lang w:val="zh-CN" w:eastAsia="zh-CN" w:bidi="zh-CN"/>
      </w:rPr>
    </w:lvl>
  </w:abstractNum>
  <w:abstractNum w:abstractNumId="1">
    <w:nsid w:val="9C8AC8EF"/>
    <w:multiLevelType w:val="singleLevel"/>
    <w:tmpl w:val="9C8AC8EF"/>
    <w:lvl w:ilvl="0" w:tentative="0">
      <w:start w:val="1"/>
      <w:numFmt w:val="lowerLetter"/>
      <w:lvlText w:val="%1)"/>
      <w:lvlJc w:val="left"/>
      <w:rPr>
        <w:rFonts w:ascii="宋体" w:hAnsi="宋体" w:eastAsia="宋体" w:cs="宋体"/>
        <w:b w:val="0"/>
        <w:bCs w:val="0"/>
        <w:i w:val="0"/>
        <w:iCs w:val="0"/>
        <w:smallCaps w:val="0"/>
        <w:strike w:val="0"/>
        <w:color w:val="000000"/>
        <w:spacing w:val="0"/>
        <w:w w:val="100"/>
        <w:position w:val="0"/>
        <w:sz w:val="20"/>
        <w:szCs w:val="20"/>
        <w:u w:val="none"/>
        <w:shd w:val="clear" w:color="auto" w:fill="auto"/>
        <w:lang w:val="en-US" w:eastAsia="en-US" w:bidi="en-US"/>
      </w:rPr>
    </w:lvl>
  </w:abstractNum>
  <w:abstractNum w:abstractNumId="2">
    <w:nsid w:val="D7F9FE59"/>
    <w:multiLevelType w:val="singleLevel"/>
    <w:tmpl w:val="D7F9FE59"/>
    <w:lvl w:ilvl="0" w:tentative="0">
      <w:start w:val="1"/>
      <w:numFmt w:val="lowerLetter"/>
      <w:lvlText w:val="%1)"/>
      <w:lvlJc w:val="left"/>
      <w:rPr>
        <w:rFonts w:ascii="宋体" w:hAnsi="宋体" w:eastAsia="宋体" w:cs="宋体"/>
        <w:b w:val="0"/>
        <w:bCs w:val="0"/>
        <w:i w:val="0"/>
        <w:iCs w:val="0"/>
        <w:smallCaps w:val="0"/>
        <w:strike w:val="0"/>
        <w:color w:val="000000"/>
        <w:spacing w:val="0"/>
        <w:w w:val="100"/>
        <w:position w:val="0"/>
        <w:sz w:val="20"/>
        <w:szCs w:val="20"/>
        <w:u w:val="none"/>
        <w:shd w:val="clear" w:color="auto" w:fill="auto"/>
        <w:lang w:val="en-US" w:eastAsia="en-US" w:bidi="en-US"/>
      </w:rPr>
    </w:lvl>
  </w:abstractNum>
  <w:abstractNum w:abstractNumId="3">
    <w:nsid w:val="DCBA6B53"/>
    <w:multiLevelType w:val="multilevel"/>
    <w:tmpl w:val="DCBA6B53"/>
    <w:lvl w:ilvl="0" w:tentative="0">
      <w:start w:val="8"/>
      <w:numFmt w:val="decimal"/>
      <w:lvlText w:val="%1"/>
      <w:lvlJc w:val="left"/>
    </w:lvl>
    <w:lvl w:ilvl="1" w:tentative="0">
      <w:start w:val="1"/>
      <w:numFmt w:val="decimal"/>
      <w:lvlText w:val="%1.%2"/>
      <w:lvlJc w:val="left"/>
      <w:rPr>
        <w:rFonts w:ascii="黑体" w:hAnsi="黑体" w:eastAsia="黑体" w:cs="黑体"/>
        <w:b w:val="0"/>
        <w:bCs w:val="0"/>
        <w:i w:val="0"/>
        <w:iCs w:val="0"/>
        <w:smallCaps w:val="0"/>
        <w:strike w:val="0"/>
        <w:color w:val="000000"/>
        <w:spacing w:val="0"/>
        <w:w w:val="100"/>
        <w:position w:val="0"/>
        <w:sz w:val="20"/>
        <w:szCs w:val="20"/>
        <w:u w:val="none"/>
        <w:shd w:val="clear" w:color="auto" w:fill="auto"/>
        <w:lang w:val="en-US" w:eastAsia="en-US" w:bidi="en-US"/>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0248C179"/>
    <w:multiLevelType w:val="singleLevel"/>
    <w:tmpl w:val="0248C179"/>
    <w:lvl w:ilvl="0" w:tentative="0">
      <w:start w:val="1"/>
      <w:numFmt w:val="lowerLetter"/>
      <w:lvlText w:val="%1)"/>
      <w:lvlJc w:val="left"/>
      <w:rPr>
        <w:rFonts w:ascii="宋体" w:hAnsi="宋体" w:eastAsia="宋体" w:cs="宋体"/>
        <w:b w:val="0"/>
        <w:bCs w:val="0"/>
        <w:i w:val="0"/>
        <w:iCs w:val="0"/>
        <w:smallCaps w:val="0"/>
        <w:strike w:val="0"/>
        <w:color w:val="000000"/>
        <w:spacing w:val="0"/>
        <w:w w:val="100"/>
        <w:position w:val="0"/>
        <w:sz w:val="20"/>
        <w:szCs w:val="20"/>
        <w:u w:val="none"/>
        <w:shd w:val="clear" w:color="auto" w:fill="auto"/>
        <w:lang w:val="en-US" w:eastAsia="en-US" w:bidi="en-US"/>
      </w:rPr>
    </w:lvl>
  </w:abstractNum>
  <w:abstractNum w:abstractNumId="5">
    <w:nsid w:val="2D3F7A35"/>
    <w:multiLevelType w:val="multilevel"/>
    <w:tmpl w:val="2D3F7A35"/>
    <w:lvl w:ilvl="0" w:tentative="0">
      <w:start w:val="1"/>
      <w:numFmt w:val="decimal"/>
      <w:lvlText w:val="%1"/>
      <w:lvlJc w:val="left"/>
      <w:pPr>
        <w:ind w:left="845" w:hanging="425"/>
      </w:pPr>
      <w:rPr>
        <w:rFonts w:hint="eastAsia"/>
      </w:rPr>
    </w:lvl>
    <w:lvl w:ilvl="1" w:tentative="0">
      <w:start w:val="1"/>
      <w:numFmt w:val="decimal"/>
      <w:suff w:val="space"/>
      <w:lvlText w:val="%1.%2"/>
      <w:lvlJc w:val="left"/>
      <w:pPr>
        <w:ind w:left="1412" w:hanging="567"/>
      </w:pPr>
      <w:rPr>
        <w:rFonts w:hint="eastAsia"/>
        <w:b w:val="0"/>
        <w:bCs w:val="0"/>
      </w:rPr>
    </w:lvl>
    <w:lvl w:ilvl="2" w:tentative="0">
      <w:start w:val="1"/>
      <w:numFmt w:val="decimal"/>
      <w:suff w:val="space"/>
      <w:lvlText w:val="%1.%2.%3"/>
      <w:lvlJc w:val="left"/>
      <w:pPr>
        <w:ind w:left="1838" w:hanging="567"/>
      </w:pPr>
      <w:rPr>
        <w:rFonts w:hint="eastAsia"/>
      </w:rPr>
    </w:lvl>
    <w:lvl w:ilvl="3" w:tentative="0">
      <w:start w:val="1"/>
      <w:numFmt w:val="decimal"/>
      <w:lvlText w:val="%1.%2.%3.%4"/>
      <w:lvlJc w:val="left"/>
      <w:pPr>
        <w:ind w:left="2404" w:hanging="708"/>
      </w:pPr>
      <w:rPr>
        <w:rFonts w:hint="eastAsia"/>
      </w:rPr>
    </w:lvl>
    <w:lvl w:ilvl="4" w:tentative="0">
      <w:start w:val="1"/>
      <w:numFmt w:val="decimal"/>
      <w:lvlText w:val="%1.%2.%3.%4.%5"/>
      <w:lvlJc w:val="left"/>
      <w:pPr>
        <w:ind w:left="2971" w:hanging="850"/>
      </w:pPr>
      <w:rPr>
        <w:rFonts w:hint="eastAsia"/>
      </w:rPr>
    </w:lvl>
    <w:lvl w:ilvl="5" w:tentative="0">
      <w:start w:val="1"/>
      <w:numFmt w:val="decimal"/>
      <w:lvlText w:val="%1.%2.%3.%4.%5.%6"/>
      <w:lvlJc w:val="left"/>
      <w:pPr>
        <w:ind w:left="3680" w:hanging="1134"/>
      </w:pPr>
      <w:rPr>
        <w:rFonts w:hint="eastAsia"/>
      </w:rPr>
    </w:lvl>
    <w:lvl w:ilvl="6" w:tentative="0">
      <w:start w:val="1"/>
      <w:numFmt w:val="decimal"/>
      <w:lvlText w:val="%1.%2.%3.%4.%5.%6.%7"/>
      <w:lvlJc w:val="left"/>
      <w:pPr>
        <w:ind w:left="4247" w:hanging="1276"/>
      </w:pPr>
      <w:rPr>
        <w:rFonts w:hint="eastAsia"/>
      </w:rPr>
    </w:lvl>
    <w:lvl w:ilvl="7" w:tentative="0">
      <w:start w:val="1"/>
      <w:numFmt w:val="decimal"/>
      <w:lvlText w:val="%1.%2.%3.%4.%5.%6.%7.%8"/>
      <w:lvlJc w:val="left"/>
      <w:pPr>
        <w:ind w:left="4814" w:hanging="1418"/>
      </w:pPr>
      <w:rPr>
        <w:rFonts w:hint="eastAsia"/>
      </w:rPr>
    </w:lvl>
    <w:lvl w:ilvl="8" w:tentative="0">
      <w:start w:val="1"/>
      <w:numFmt w:val="decimal"/>
      <w:lvlText w:val="%1.%2.%3.%4.%5.%6.%7.%8.%9"/>
      <w:lvlJc w:val="left"/>
      <w:pPr>
        <w:ind w:left="5522" w:hanging="1700"/>
      </w:pPr>
      <w:rPr>
        <w:rFonts w:hint="eastAsia"/>
      </w:rPr>
    </w:lvl>
  </w:abstractNum>
  <w:abstractNum w:abstractNumId="6">
    <w:nsid w:val="4C1BAE26"/>
    <w:multiLevelType w:val="singleLevel"/>
    <w:tmpl w:val="4C1BAE26"/>
    <w:lvl w:ilvl="0" w:tentative="0">
      <w:start w:val="1"/>
      <w:numFmt w:val="lowerLetter"/>
      <w:lvlText w:val="%1)"/>
      <w:lvlJc w:val="left"/>
      <w:rPr>
        <w:rFonts w:ascii="宋体" w:hAnsi="宋体" w:eastAsia="宋体" w:cs="宋体"/>
        <w:b w:val="0"/>
        <w:bCs w:val="0"/>
        <w:i w:val="0"/>
        <w:iCs w:val="0"/>
        <w:smallCaps w:val="0"/>
        <w:strike w:val="0"/>
        <w:color w:val="000000"/>
        <w:spacing w:val="0"/>
        <w:w w:val="100"/>
        <w:position w:val="0"/>
        <w:sz w:val="20"/>
        <w:szCs w:val="20"/>
        <w:u w:val="none"/>
        <w:shd w:val="clear" w:color="auto" w:fill="auto"/>
        <w:lang w:val="en-US" w:eastAsia="en-US" w:bidi="en-US"/>
      </w:rPr>
    </w:lvl>
  </w:abstractNum>
  <w:abstractNum w:abstractNumId="7">
    <w:nsid w:val="6B310B1A"/>
    <w:multiLevelType w:val="multilevel"/>
    <w:tmpl w:val="6B310B1A"/>
    <w:lvl w:ilvl="0" w:tentative="0">
      <w:start w:val="1"/>
      <w:numFmt w:val="decimal"/>
      <w:suff w:val="space"/>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7"/>
  </w:num>
  <w:num w:numId="2">
    <w:abstractNumId w:val="5"/>
  </w:num>
  <w:num w:numId="3">
    <w:abstractNumId w:val="4"/>
  </w:num>
  <w:num w:numId="4">
    <w:abstractNumId w:val="0"/>
  </w:num>
  <w:num w:numId="5">
    <w:abstractNumId w:val="3"/>
  </w:num>
  <w:num w:numId="6">
    <w:abstractNumId w:val="2"/>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EwNDRhMGJjM2Q3NWY5ZjZhNjlkODE1YmRjOGU1MDMifQ=="/>
    <w:docVar w:name="KSO_WPS_MARK_KEY" w:val="3f8ea7eb-1240-4347-99e5-046525a52506"/>
  </w:docVars>
  <w:rsids>
    <w:rsidRoot w:val="030E476C"/>
    <w:rsid w:val="000736AE"/>
    <w:rsid w:val="000A0415"/>
    <w:rsid w:val="003E16D4"/>
    <w:rsid w:val="007016B1"/>
    <w:rsid w:val="007679F3"/>
    <w:rsid w:val="007A52B8"/>
    <w:rsid w:val="007F1015"/>
    <w:rsid w:val="008E7B7B"/>
    <w:rsid w:val="009525CB"/>
    <w:rsid w:val="00A319F6"/>
    <w:rsid w:val="00B7478C"/>
    <w:rsid w:val="00BB1A47"/>
    <w:rsid w:val="00D37983"/>
    <w:rsid w:val="00D95560"/>
    <w:rsid w:val="00DD4465"/>
    <w:rsid w:val="00E13486"/>
    <w:rsid w:val="00E52648"/>
    <w:rsid w:val="00F90509"/>
    <w:rsid w:val="00FB3F47"/>
    <w:rsid w:val="00FC077D"/>
    <w:rsid w:val="030E476C"/>
    <w:rsid w:val="08654BAA"/>
    <w:rsid w:val="0C1E558E"/>
    <w:rsid w:val="0D5544E4"/>
    <w:rsid w:val="0EFA6A71"/>
    <w:rsid w:val="1B194BE8"/>
    <w:rsid w:val="1B525BCA"/>
    <w:rsid w:val="1E5B78DA"/>
    <w:rsid w:val="1FE63DBD"/>
    <w:rsid w:val="21240AF9"/>
    <w:rsid w:val="24357A8B"/>
    <w:rsid w:val="246F654F"/>
    <w:rsid w:val="2A6B4052"/>
    <w:rsid w:val="2B395AE8"/>
    <w:rsid w:val="2F90410D"/>
    <w:rsid w:val="322D57A6"/>
    <w:rsid w:val="33E421E4"/>
    <w:rsid w:val="34126ED7"/>
    <w:rsid w:val="3558300F"/>
    <w:rsid w:val="38F23239"/>
    <w:rsid w:val="3930052B"/>
    <w:rsid w:val="4001677D"/>
    <w:rsid w:val="41505509"/>
    <w:rsid w:val="44943A1B"/>
    <w:rsid w:val="459D1731"/>
    <w:rsid w:val="4C2A6551"/>
    <w:rsid w:val="4C6308BB"/>
    <w:rsid w:val="4DC42B98"/>
    <w:rsid w:val="4E803A38"/>
    <w:rsid w:val="56726B35"/>
    <w:rsid w:val="577A6E3B"/>
    <w:rsid w:val="5A6A4AC7"/>
    <w:rsid w:val="5F1D47FE"/>
    <w:rsid w:val="65423E64"/>
    <w:rsid w:val="66897DE0"/>
    <w:rsid w:val="6A4029C1"/>
    <w:rsid w:val="6A7D3DD1"/>
    <w:rsid w:val="6D2E2A08"/>
    <w:rsid w:val="6E70002D"/>
    <w:rsid w:val="723E2669"/>
    <w:rsid w:val="76B96DCB"/>
    <w:rsid w:val="77DD34AD"/>
    <w:rsid w:val="790E5F32"/>
    <w:rsid w:val="79FB4ED4"/>
    <w:rsid w:val="7A3E3B4E"/>
    <w:rsid w:val="7E190244"/>
    <w:rsid w:val="7E604355"/>
    <w:rsid w:val="7E884409"/>
    <w:rsid w:val="7EEB132A"/>
    <w:rsid w:val="7FA34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Times New Roman" w:cs="Times New Roman"/>
      <w:color w:val="000000"/>
      <w:sz w:val="24"/>
      <w:szCs w:val="24"/>
      <w:lang w:val="en-US" w:eastAsia="en-US" w:bidi="en-US"/>
    </w:rPr>
  </w:style>
  <w:style w:type="paragraph" w:styleId="2">
    <w:name w:val="heading 1"/>
    <w:basedOn w:val="1"/>
    <w:next w:val="1"/>
    <w:link w:val="3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4"/>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toc 3"/>
    <w:basedOn w:val="1"/>
    <w:next w:val="1"/>
    <w:qFormat/>
    <w:uiPriority w:val="39"/>
    <w:pPr>
      <w:ind w:left="840" w:leftChars="400"/>
    </w:pPr>
  </w:style>
  <w:style w:type="paragraph" w:styleId="5">
    <w:name w:val="footer"/>
    <w:basedOn w:val="1"/>
    <w:link w:val="38"/>
    <w:qFormat/>
    <w:uiPriority w:val="99"/>
    <w:pPr>
      <w:tabs>
        <w:tab w:val="center" w:pos="4153"/>
        <w:tab w:val="right" w:pos="8306"/>
      </w:tabs>
      <w:snapToGrid w:val="0"/>
    </w:pPr>
    <w:rPr>
      <w:sz w:val="18"/>
    </w:rPr>
  </w:style>
  <w:style w:type="paragraph" w:styleId="6">
    <w:name w:val="header"/>
    <w:basedOn w:val="1"/>
    <w:link w:val="36"/>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7">
    <w:name w:val="toc 1"/>
    <w:basedOn w:val="1"/>
    <w:next w:val="1"/>
    <w:qFormat/>
    <w:uiPriority w:val="39"/>
  </w:style>
  <w:style w:type="paragraph" w:styleId="8">
    <w:name w:val="toc 2"/>
    <w:basedOn w:val="1"/>
    <w:next w:val="1"/>
    <w:qFormat/>
    <w:uiPriority w:val="39"/>
    <w:pPr>
      <w:ind w:left="420" w:left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unhideWhenUsed/>
    <w:qFormat/>
    <w:uiPriority w:val="99"/>
    <w:rPr>
      <w:color w:val="0563C1" w:themeColor="hyperlink"/>
      <w:u w:val="single"/>
      <w14:textFill>
        <w14:solidFill>
          <w14:schemeClr w14:val="hlink"/>
        </w14:solidFill>
      </w14:textFill>
    </w:rPr>
  </w:style>
  <w:style w:type="paragraph" w:customStyle="1" w:styleId="13">
    <w:name w:val="Style 2"/>
    <w:basedOn w:val="1"/>
    <w:link w:val="14"/>
    <w:qFormat/>
    <w:uiPriority w:val="0"/>
    <w:pPr>
      <w:spacing w:after="140" w:line="312" w:lineRule="exact"/>
    </w:pPr>
    <w:rPr>
      <w:rFonts w:ascii="黑体" w:hAnsi="黑体" w:eastAsia="黑体" w:cs="黑体"/>
      <w:sz w:val="20"/>
      <w:szCs w:val="20"/>
      <w:lang w:val="zh-CN" w:eastAsia="zh-CN" w:bidi="zh-CN"/>
    </w:rPr>
  </w:style>
  <w:style w:type="character" w:customStyle="1" w:styleId="14">
    <w:name w:val="Char Style 3"/>
    <w:basedOn w:val="11"/>
    <w:link w:val="13"/>
    <w:qFormat/>
    <w:uiPriority w:val="0"/>
    <w:rPr>
      <w:rFonts w:ascii="黑体" w:hAnsi="黑体" w:eastAsia="黑体" w:cs="黑体"/>
      <w:sz w:val="20"/>
      <w:szCs w:val="20"/>
      <w:u w:val="none"/>
      <w:lang w:val="zh-CN" w:eastAsia="zh-CN" w:bidi="zh-CN"/>
    </w:rPr>
  </w:style>
  <w:style w:type="paragraph" w:customStyle="1" w:styleId="15">
    <w:name w:val="Style 25"/>
    <w:basedOn w:val="1"/>
    <w:link w:val="16"/>
    <w:qFormat/>
    <w:uiPriority w:val="0"/>
    <w:pPr>
      <w:spacing w:line="329" w:lineRule="auto"/>
    </w:pPr>
    <w:rPr>
      <w:rFonts w:ascii="宋体" w:hAnsi="宋体" w:eastAsia="宋体" w:cs="宋体"/>
      <w:sz w:val="20"/>
      <w:szCs w:val="20"/>
      <w:lang w:val="zh-CN" w:eastAsia="zh-CN" w:bidi="zh-CN"/>
    </w:rPr>
  </w:style>
  <w:style w:type="character" w:customStyle="1" w:styleId="16">
    <w:name w:val="Char Style 26"/>
    <w:basedOn w:val="11"/>
    <w:link w:val="15"/>
    <w:qFormat/>
    <w:uiPriority w:val="0"/>
    <w:rPr>
      <w:rFonts w:ascii="宋体" w:hAnsi="宋体" w:eastAsia="宋体" w:cs="宋体"/>
      <w:sz w:val="20"/>
      <w:szCs w:val="20"/>
      <w:u w:val="none"/>
      <w:lang w:val="zh-CN" w:eastAsia="zh-CN" w:bidi="zh-CN"/>
    </w:rPr>
  </w:style>
  <w:style w:type="paragraph" w:customStyle="1" w:styleId="17">
    <w:name w:val="Style 29"/>
    <w:basedOn w:val="1"/>
    <w:link w:val="18"/>
    <w:qFormat/>
    <w:uiPriority w:val="0"/>
    <w:pPr>
      <w:spacing w:line="312" w:lineRule="exact"/>
      <w:ind w:firstLine="380"/>
    </w:pPr>
    <w:rPr>
      <w:rFonts w:ascii="宋体" w:hAnsi="宋体" w:eastAsia="宋体" w:cs="宋体"/>
      <w:sz w:val="18"/>
      <w:szCs w:val="18"/>
      <w:lang w:val="zh-CN" w:eastAsia="zh-CN" w:bidi="zh-CN"/>
    </w:rPr>
  </w:style>
  <w:style w:type="character" w:customStyle="1" w:styleId="18">
    <w:name w:val="Char Style 30"/>
    <w:basedOn w:val="11"/>
    <w:link w:val="17"/>
    <w:qFormat/>
    <w:uiPriority w:val="0"/>
    <w:rPr>
      <w:rFonts w:ascii="宋体" w:hAnsi="宋体" w:eastAsia="宋体" w:cs="宋体"/>
      <w:sz w:val="18"/>
      <w:szCs w:val="18"/>
      <w:u w:val="none"/>
      <w:lang w:val="zh-CN" w:eastAsia="zh-CN" w:bidi="zh-CN"/>
    </w:rPr>
  </w:style>
  <w:style w:type="paragraph" w:customStyle="1" w:styleId="19">
    <w:name w:val="Style 18"/>
    <w:basedOn w:val="1"/>
    <w:link w:val="20"/>
    <w:qFormat/>
    <w:uiPriority w:val="0"/>
    <w:rPr>
      <w:sz w:val="20"/>
      <w:szCs w:val="20"/>
      <w:lang w:val="zh-CN" w:eastAsia="zh-CN" w:bidi="zh-CN"/>
    </w:rPr>
  </w:style>
  <w:style w:type="character" w:customStyle="1" w:styleId="20">
    <w:name w:val="Char Style 19"/>
    <w:basedOn w:val="11"/>
    <w:link w:val="19"/>
    <w:qFormat/>
    <w:uiPriority w:val="0"/>
    <w:rPr>
      <w:sz w:val="20"/>
      <w:szCs w:val="20"/>
      <w:u w:val="none"/>
      <w:lang w:val="zh-CN" w:eastAsia="zh-CN" w:bidi="zh-CN"/>
    </w:rPr>
  </w:style>
  <w:style w:type="paragraph" w:customStyle="1" w:styleId="21">
    <w:name w:val="Style 5"/>
    <w:basedOn w:val="1"/>
    <w:link w:val="22"/>
    <w:qFormat/>
    <w:uiPriority w:val="0"/>
    <w:pPr>
      <w:spacing w:after="240"/>
      <w:ind w:right="240"/>
      <w:jc w:val="right"/>
      <w:outlineLvl w:val="0"/>
    </w:pPr>
    <w:rPr>
      <w:b/>
      <w:bCs/>
      <w:sz w:val="94"/>
      <w:szCs w:val="94"/>
    </w:rPr>
  </w:style>
  <w:style w:type="character" w:customStyle="1" w:styleId="22">
    <w:name w:val="Char Style 6"/>
    <w:basedOn w:val="11"/>
    <w:link w:val="21"/>
    <w:qFormat/>
    <w:uiPriority w:val="0"/>
    <w:rPr>
      <w:b/>
      <w:bCs/>
      <w:sz w:val="94"/>
      <w:szCs w:val="94"/>
      <w:u w:val="none"/>
    </w:rPr>
  </w:style>
  <w:style w:type="paragraph" w:customStyle="1" w:styleId="23">
    <w:name w:val="Style 7"/>
    <w:basedOn w:val="1"/>
    <w:link w:val="24"/>
    <w:qFormat/>
    <w:uiPriority w:val="0"/>
    <w:pPr>
      <w:spacing w:after="360"/>
      <w:outlineLvl w:val="2"/>
    </w:pPr>
    <w:rPr>
      <w:rFonts w:ascii="黑体" w:hAnsi="黑体" w:eastAsia="黑体" w:cs="黑体"/>
      <w:sz w:val="48"/>
      <w:szCs w:val="48"/>
      <w:lang w:val="zh-CN" w:eastAsia="zh-CN" w:bidi="zh-CN"/>
    </w:rPr>
  </w:style>
  <w:style w:type="character" w:customStyle="1" w:styleId="24">
    <w:name w:val="Char Style 8"/>
    <w:basedOn w:val="11"/>
    <w:link w:val="23"/>
    <w:qFormat/>
    <w:uiPriority w:val="0"/>
    <w:rPr>
      <w:rFonts w:ascii="黑体" w:hAnsi="黑体" w:eastAsia="黑体" w:cs="黑体"/>
      <w:sz w:val="48"/>
      <w:szCs w:val="48"/>
      <w:u w:val="none"/>
      <w:lang w:val="zh-CN" w:eastAsia="zh-CN" w:bidi="zh-CN"/>
    </w:rPr>
  </w:style>
  <w:style w:type="paragraph" w:customStyle="1" w:styleId="25">
    <w:name w:val="Style 9"/>
    <w:basedOn w:val="1"/>
    <w:link w:val="26"/>
    <w:qFormat/>
    <w:uiPriority w:val="0"/>
    <w:pPr>
      <w:spacing w:after="1840"/>
    </w:pPr>
    <w:rPr>
      <w:rFonts w:ascii="黑体" w:hAnsi="黑体" w:eastAsia="黑体" w:cs="黑体"/>
      <w:sz w:val="28"/>
      <w:szCs w:val="28"/>
    </w:rPr>
  </w:style>
  <w:style w:type="character" w:customStyle="1" w:styleId="26">
    <w:name w:val="Char Style 10"/>
    <w:basedOn w:val="11"/>
    <w:link w:val="25"/>
    <w:qFormat/>
    <w:uiPriority w:val="0"/>
    <w:rPr>
      <w:rFonts w:ascii="黑体" w:hAnsi="黑体" w:eastAsia="黑体" w:cs="黑体"/>
      <w:sz w:val="28"/>
      <w:szCs w:val="28"/>
      <w:u w:val="none"/>
    </w:rPr>
  </w:style>
  <w:style w:type="paragraph" w:customStyle="1" w:styleId="27">
    <w:name w:val="Style 11"/>
    <w:basedOn w:val="1"/>
    <w:link w:val="28"/>
    <w:qFormat/>
    <w:uiPriority w:val="0"/>
    <w:pPr>
      <w:spacing w:after="460"/>
      <w:jc w:val="center"/>
      <w:outlineLvl w:val="1"/>
    </w:pPr>
    <w:rPr>
      <w:rFonts w:ascii="黑体" w:hAnsi="黑体" w:eastAsia="黑体" w:cs="黑体"/>
      <w:sz w:val="52"/>
      <w:szCs w:val="52"/>
      <w:lang w:val="zh-CN" w:eastAsia="zh-CN" w:bidi="zh-CN"/>
    </w:rPr>
  </w:style>
  <w:style w:type="character" w:customStyle="1" w:styleId="28">
    <w:name w:val="Char Style 12"/>
    <w:basedOn w:val="11"/>
    <w:link w:val="27"/>
    <w:qFormat/>
    <w:uiPriority w:val="0"/>
    <w:rPr>
      <w:rFonts w:ascii="黑体" w:hAnsi="黑体" w:eastAsia="黑体" w:cs="黑体"/>
      <w:sz w:val="52"/>
      <w:szCs w:val="52"/>
      <w:u w:val="none"/>
      <w:lang w:val="zh-CN" w:eastAsia="zh-CN" w:bidi="zh-CN"/>
    </w:rPr>
  </w:style>
  <w:style w:type="paragraph" w:customStyle="1" w:styleId="29">
    <w:name w:val="Style 16"/>
    <w:basedOn w:val="1"/>
    <w:link w:val="30"/>
    <w:qFormat/>
    <w:uiPriority w:val="0"/>
    <w:pPr>
      <w:spacing w:before="110" w:after="680"/>
      <w:jc w:val="center"/>
      <w:outlineLvl w:val="3"/>
    </w:pPr>
    <w:rPr>
      <w:rFonts w:ascii="黑体" w:hAnsi="黑体" w:eastAsia="黑体" w:cs="黑体"/>
      <w:sz w:val="32"/>
      <w:szCs w:val="32"/>
      <w:lang w:val="zh-CN" w:eastAsia="zh-CN" w:bidi="zh-CN"/>
    </w:rPr>
  </w:style>
  <w:style w:type="character" w:customStyle="1" w:styleId="30">
    <w:name w:val="Char Style 17"/>
    <w:basedOn w:val="11"/>
    <w:link w:val="29"/>
    <w:qFormat/>
    <w:uiPriority w:val="0"/>
    <w:rPr>
      <w:rFonts w:ascii="黑体" w:hAnsi="黑体" w:eastAsia="黑体" w:cs="黑体"/>
      <w:sz w:val="32"/>
      <w:szCs w:val="32"/>
      <w:u w:val="none"/>
      <w:lang w:val="zh-CN" w:eastAsia="zh-CN" w:bidi="zh-CN"/>
    </w:rPr>
  </w:style>
  <w:style w:type="paragraph" w:customStyle="1" w:styleId="31">
    <w:name w:val="Style 22"/>
    <w:basedOn w:val="1"/>
    <w:link w:val="32"/>
    <w:qFormat/>
    <w:uiPriority w:val="0"/>
    <w:pPr>
      <w:spacing w:after="80"/>
    </w:pPr>
    <w:rPr>
      <w:rFonts w:ascii="宋体" w:hAnsi="宋体" w:eastAsia="宋体" w:cs="宋体"/>
      <w:sz w:val="20"/>
      <w:szCs w:val="20"/>
      <w:lang w:val="zh-CN" w:eastAsia="zh-CN" w:bidi="zh-CN"/>
    </w:rPr>
  </w:style>
  <w:style w:type="character" w:customStyle="1" w:styleId="32">
    <w:name w:val="Char Style 23"/>
    <w:basedOn w:val="11"/>
    <w:link w:val="31"/>
    <w:qFormat/>
    <w:uiPriority w:val="0"/>
    <w:rPr>
      <w:rFonts w:ascii="宋体" w:hAnsi="宋体" w:eastAsia="宋体" w:cs="宋体"/>
      <w:sz w:val="20"/>
      <w:szCs w:val="20"/>
      <w:u w:val="none"/>
      <w:lang w:val="zh-CN" w:eastAsia="zh-CN" w:bidi="zh-CN"/>
    </w:rPr>
  </w:style>
  <w:style w:type="character" w:customStyle="1" w:styleId="33">
    <w:name w:val="标题 1 字符"/>
    <w:basedOn w:val="11"/>
    <w:link w:val="2"/>
    <w:qFormat/>
    <w:uiPriority w:val="0"/>
    <w:rPr>
      <w:rFonts w:eastAsia="Times New Roman"/>
      <w:b/>
      <w:bCs/>
      <w:color w:val="000000"/>
      <w:kern w:val="44"/>
      <w:sz w:val="44"/>
      <w:szCs w:val="44"/>
      <w:lang w:eastAsia="en-US" w:bidi="en-US"/>
    </w:rPr>
  </w:style>
  <w:style w:type="character" w:customStyle="1" w:styleId="34">
    <w:name w:val="标题 2 字符"/>
    <w:basedOn w:val="11"/>
    <w:link w:val="3"/>
    <w:qFormat/>
    <w:uiPriority w:val="0"/>
    <w:rPr>
      <w:rFonts w:asciiTheme="majorHAnsi" w:hAnsiTheme="majorHAnsi" w:eastAsiaTheme="majorEastAsia" w:cstheme="majorBidi"/>
      <w:b/>
      <w:bCs/>
      <w:color w:val="000000"/>
      <w:sz w:val="32"/>
      <w:szCs w:val="32"/>
      <w:lang w:eastAsia="en-US" w:bidi="en-US"/>
    </w:rPr>
  </w:style>
  <w:style w:type="paragraph" w:styleId="35">
    <w:name w:val="List Paragraph"/>
    <w:basedOn w:val="1"/>
    <w:qFormat/>
    <w:uiPriority w:val="99"/>
    <w:pPr>
      <w:ind w:firstLine="420" w:firstLineChars="200"/>
    </w:pPr>
  </w:style>
  <w:style w:type="character" w:customStyle="1" w:styleId="36">
    <w:name w:val="页眉 字符"/>
    <w:basedOn w:val="11"/>
    <w:link w:val="6"/>
    <w:qFormat/>
    <w:uiPriority w:val="99"/>
    <w:rPr>
      <w:rFonts w:eastAsia="Times New Roman"/>
      <w:color w:val="000000"/>
      <w:sz w:val="18"/>
      <w:szCs w:val="24"/>
      <w:lang w:eastAsia="en-US" w:bidi="en-US"/>
    </w:rPr>
  </w:style>
  <w:style w:type="paragraph" w:customStyle="1" w:styleId="37">
    <w:name w:val="TOC Heading"/>
    <w:basedOn w:val="2"/>
    <w:next w:val="1"/>
    <w:unhideWhenUsed/>
    <w:qFormat/>
    <w:uiPriority w:val="39"/>
    <w:pPr>
      <w:widowControl/>
      <w:spacing w:before="240" w:after="0" w:line="259" w:lineRule="auto"/>
      <w:outlineLvl w:val="9"/>
    </w:pPr>
    <w:rPr>
      <w:rFonts w:asciiTheme="majorHAnsi" w:hAnsiTheme="majorHAnsi" w:eastAsiaTheme="majorEastAsia" w:cstheme="majorBidi"/>
      <w:b w:val="0"/>
      <w:bCs w:val="0"/>
      <w:color w:val="2E75B6" w:themeColor="accent1" w:themeShade="BF"/>
      <w:kern w:val="0"/>
      <w:sz w:val="32"/>
      <w:szCs w:val="32"/>
      <w:lang w:eastAsia="zh-CN" w:bidi="ar-SA"/>
    </w:rPr>
  </w:style>
  <w:style w:type="character" w:customStyle="1" w:styleId="38">
    <w:name w:val="页脚 字符"/>
    <w:basedOn w:val="11"/>
    <w:link w:val="5"/>
    <w:qFormat/>
    <w:uiPriority w:val="99"/>
    <w:rPr>
      <w:rFonts w:eastAsia="Times New Roman"/>
      <w:color w:val="000000"/>
      <w:sz w:val="18"/>
      <w:szCs w:val="24"/>
      <w:lang w:eastAsia="en-US" w:bidi="en-US"/>
    </w:rPr>
  </w:style>
  <w:style w:type="character" w:customStyle="1" w:styleId="39">
    <w:name w:val="Unresolved Mention"/>
    <w:basedOn w:val="11"/>
    <w:semiHidden/>
    <w:unhideWhenUsed/>
    <w:qFormat/>
    <w:uiPriority w:val="99"/>
    <w:rPr>
      <w:color w:val="605E5C"/>
      <w:shd w:val="clear" w:color="auto" w:fill="E1DFDD"/>
    </w:rPr>
  </w:style>
  <w:style w:type="paragraph" w:customStyle="1" w:styleId="40">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41">
    <w:name w:val="其他标准标志"/>
    <w:basedOn w:val="42"/>
    <w:qFormat/>
    <w:uiPriority w:val="0"/>
    <w:pPr>
      <w:framePr w:w="6101" w:vAnchor="page" w:hAnchor="page" w:x="4673" w:y="942"/>
    </w:pPr>
    <w:rPr>
      <w:w w:val="130"/>
    </w:rPr>
  </w:style>
  <w:style w:type="paragraph" w:customStyle="1" w:styleId="4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43">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44">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5">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46">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47">
    <w:name w:val="封面标准英文名称"/>
    <w:basedOn w:val="46"/>
    <w:qFormat/>
    <w:uiPriority w:val="0"/>
    <w:pPr>
      <w:spacing w:before="370" w:line="400" w:lineRule="exact"/>
    </w:pPr>
    <w:rPr>
      <w:rFonts w:ascii="Times New Roman"/>
      <w:sz w:val="28"/>
      <w:szCs w:val="28"/>
    </w:rPr>
  </w:style>
  <w:style w:type="paragraph" w:customStyle="1" w:styleId="48">
    <w:name w:val="封面一致性程度标识"/>
    <w:basedOn w:val="47"/>
    <w:qFormat/>
    <w:uiPriority w:val="0"/>
    <w:pPr>
      <w:spacing w:before="440"/>
    </w:pPr>
    <w:rPr>
      <w:rFonts w:ascii="宋体" w:eastAsia="宋体"/>
    </w:rPr>
  </w:style>
  <w:style w:type="paragraph" w:customStyle="1" w:styleId="49">
    <w:name w:val="封面标准文稿类别"/>
    <w:basedOn w:val="48"/>
    <w:qFormat/>
    <w:uiPriority w:val="0"/>
    <w:pPr>
      <w:spacing w:after="160" w:line="240" w:lineRule="auto"/>
    </w:pPr>
    <w:rPr>
      <w:sz w:val="24"/>
    </w:rPr>
  </w:style>
  <w:style w:type="paragraph" w:customStyle="1" w:styleId="50">
    <w:name w:val="封面标准文稿编辑信息"/>
    <w:basedOn w:val="49"/>
    <w:qFormat/>
    <w:uiPriority w:val="0"/>
    <w:pPr>
      <w:spacing w:before="180" w:line="180" w:lineRule="exact"/>
    </w:pPr>
    <w:rPr>
      <w:sz w:val="21"/>
    </w:rPr>
  </w:style>
  <w:style w:type="paragraph" w:customStyle="1" w:styleId="51">
    <w:name w:val="其他发布日期"/>
    <w:basedOn w:val="52"/>
    <w:qFormat/>
    <w:uiPriority w:val="0"/>
    <w:pPr>
      <w:framePr w:vAnchor="page" w:hAnchor="page" w:x="1419"/>
    </w:pPr>
  </w:style>
  <w:style w:type="paragraph" w:customStyle="1" w:styleId="52">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53">
    <w:name w:val="其他实施日期"/>
    <w:basedOn w:val="54"/>
    <w:qFormat/>
    <w:uiPriority w:val="0"/>
  </w:style>
  <w:style w:type="paragraph" w:customStyle="1" w:styleId="54">
    <w:name w:val="实施日期"/>
    <w:basedOn w:val="52"/>
    <w:qFormat/>
    <w:uiPriority w:val="0"/>
    <w:pPr>
      <w:framePr w:vAnchor="page" w:hAnchor="page"/>
      <w:jc w:val="right"/>
    </w:pPr>
  </w:style>
  <w:style w:type="paragraph" w:customStyle="1" w:styleId="55">
    <w:name w:val="其他发布部门"/>
    <w:basedOn w:val="56"/>
    <w:qFormat/>
    <w:uiPriority w:val="0"/>
    <w:pPr>
      <w:framePr w:y="15310"/>
      <w:spacing w:line="0" w:lineRule="atLeast"/>
    </w:pPr>
    <w:rPr>
      <w:rFonts w:ascii="黑体" w:eastAsia="黑体"/>
      <w:b w:val="0"/>
    </w:rPr>
  </w:style>
  <w:style w:type="paragraph" w:customStyle="1" w:styleId="56">
    <w:name w:val="发布部门"/>
    <w:next w:val="57"/>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57">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58">
    <w:name w:val="发布"/>
    <w:qFormat/>
    <w:uiPriority w:val="0"/>
    <w:rPr>
      <w:rFonts w:ascii="黑体" w:eastAsia="黑体"/>
      <w:spacing w:val="85"/>
      <w:w w:val="100"/>
      <w:position w:val="3"/>
      <w:sz w:val="28"/>
      <w:szCs w:val="28"/>
    </w:rPr>
  </w:style>
  <w:style w:type="paragraph" w:customStyle="1" w:styleId="59">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60">
    <w:name w:val="前言、引言标题"/>
    <w:next w:val="57"/>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61">
    <w:name w:val="标准书脚_奇数页"/>
    <w:qFormat/>
    <w:uiPriority w:val="0"/>
    <w:pPr>
      <w:ind w:right="227"/>
      <w:jc w:val="right"/>
    </w:pPr>
    <w:rPr>
      <w:rFonts w:hint="eastAsia" w:ascii="宋体" w:hAnsi="Times New Roman" w:eastAsia="宋体" w:cs="宋体"/>
      <w:sz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A685DB-D155-4579-8BD8-DE2C8AB9C745}">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7546</Words>
  <Characters>7876</Characters>
  <Lines>18</Lines>
  <Paragraphs>20</Paragraphs>
  <TotalTime>6</TotalTime>
  <ScaleCrop>false</ScaleCrop>
  <LinksUpToDate>false</LinksUpToDate>
  <CharactersWithSpaces>8202</CharactersWithSpaces>
  <Application>WPS Office_12.1.0.17468_F1E327BC-269C-435d-A152-05C5408002CA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2023-05-10T14:27:00Z</dcterms:created>
  <dc:creator>XK01-020</dc:creator>
  <cp:lastModifiedBy>高汉</cp:lastModifiedBy>
  <dcterms:modified xsi:type="dcterms:W3CDTF">2024-07-29T08:52:11Z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2052-12.1.0.17468</vt:lpwstr>
  </property>
  <property fmtid="{D5CDD505-2E9C-101B-9397-08002B2CF9AE}" pid="3" name="ICV">
    <vt:lpwstr>F12ECB730E9F424C98A1742A9EDDC1EA_13</vt:lpwstr>
  </property>
</Properties>
</file>