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66B51">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val="0"/>
          <w:bCs/>
          <w:color w:val="auto"/>
          <w:kern w:val="0"/>
          <w:sz w:val="44"/>
          <w:szCs w:val="44"/>
          <w:highlight w:val="none"/>
        </w:rPr>
      </w:pPr>
      <w:r>
        <w:rPr>
          <w:rFonts w:hint="eastAsia" w:ascii="方正小标宋简体" w:hAnsi="方正小标宋简体" w:eastAsia="方正小标宋简体" w:cs="方正小标宋简体"/>
          <w:b w:val="0"/>
          <w:bCs/>
          <w:color w:val="auto"/>
          <w:kern w:val="0"/>
          <w:sz w:val="44"/>
          <w:szCs w:val="44"/>
          <w:highlight w:val="none"/>
        </w:rPr>
        <w:t>《食品相关产品生产企业质量提升指南》</w:t>
      </w:r>
    </w:p>
    <w:p w14:paraId="3CDD5694">
      <w:pPr>
        <w:keepNext w:val="0"/>
        <w:keepLines w:val="0"/>
        <w:pageBreakBefore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b w:val="0"/>
          <w:bCs/>
          <w:color w:val="auto"/>
          <w:kern w:val="0"/>
          <w:sz w:val="44"/>
          <w:szCs w:val="44"/>
          <w:highlight w:val="none"/>
        </w:rPr>
      </w:pPr>
      <w:r>
        <w:rPr>
          <w:rFonts w:hint="eastAsia" w:ascii="方正小标宋简体" w:hAnsi="方正小标宋简体" w:eastAsia="方正小标宋简体" w:cs="方正小标宋简体"/>
          <w:b w:val="0"/>
          <w:bCs/>
          <w:color w:val="auto"/>
          <w:kern w:val="0"/>
          <w:sz w:val="44"/>
          <w:szCs w:val="44"/>
          <w:highlight w:val="none"/>
        </w:rPr>
        <w:t>地方标准编制说明</w:t>
      </w:r>
    </w:p>
    <w:p w14:paraId="313C9975">
      <w:pPr>
        <w:keepNext w:val="0"/>
        <w:keepLines w:val="0"/>
        <w:pageBreakBefore w:val="0"/>
        <w:widowControl w:val="0"/>
        <w:kinsoku/>
        <w:wordWrap/>
        <w:overflowPunct/>
        <w:topLinePunct w:val="0"/>
        <w:autoSpaceDE/>
        <w:autoSpaceDN/>
        <w:bidi w:val="0"/>
        <w:adjustRightInd w:val="0"/>
        <w:snapToGrid w:val="0"/>
        <w:spacing w:line="540" w:lineRule="exact"/>
        <w:ind w:firstLine="880" w:firstLineChars="200"/>
        <w:jc w:val="center"/>
        <w:textAlignment w:val="auto"/>
        <w:rPr>
          <w:rFonts w:hint="eastAsia" w:ascii="方正小标宋简体" w:hAnsi="Times New Roman" w:eastAsia="方正小标宋简体"/>
          <w:b w:val="0"/>
          <w:bCs/>
          <w:color w:val="auto"/>
          <w:kern w:val="0"/>
          <w:sz w:val="44"/>
          <w:szCs w:val="44"/>
          <w:highlight w:val="none"/>
        </w:rPr>
      </w:pPr>
    </w:p>
    <w:p w14:paraId="7B0780C9">
      <w:pPr>
        <w:keepNext w:val="0"/>
        <w:keepLines w:val="0"/>
        <w:pageBreakBefore w:val="0"/>
        <w:numPr>
          <w:ilvl w:val="0"/>
          <w:numId w:val="2"/>
        </w:numPr>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eastAsia="zh-CN"/>
        </w:rPr>
        <w:t>任务来源及起草单位</w:t>
      </w:r>
    </w:p>
    <w:p w14:paraId="7E271E52">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根据《江西省市场监督管理局关于下达2023年度第四批江西省地方标准制修订计划的通知》（赣市监标〔2023〕12号）文件精神，批准该规范列入制订计划，计划编号DB36-2023-4-23。</w:t>
      </w:r>
    </w:p>
    <w:p w14:paraId="3D033C5C">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本标准由江西省市场监督管理局质量发展局、江西省检验检测认证总院工业产品检验检测院负责起草。</w:t>
      </w:r>
    </w:p>
    <w:p w14:paraId="619AD239">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 xml:space="preserve">二、制定标准的必要性和意义 </w:t>
      </w:r>
    </w:p>
    <w:p w14:paraId="33054D12">
      <w:pPr>
        <w:keepNext w:val="0"/>
        <w:keepLines w:val="0"/>
        <w:pageBreakBefore w:val="0"/>
        <w:widowControl/>
        <w:suppressLineNumbers w:val="0"/>
        <w:kinsoku/>
        <w:wordWrap/>
        <w:overflowPunct/>
        <w:topLinePunct w:val="0"/>
        <w:autoSpaceDE/>
        <w:autoSpaceDN/>
        <w:bidi w:val="0"/>
        <w:adjustRightInd w:val="0"/>
        <w:snapToGrid w:val="0"/>
        <w:spacing w:line="540" w:lineRule="exact"/>
        <w:ind w:firstLine="640" w:firstLineChars="200"/>
        <w:jc w:val="left"/>
        <w:textAlignment w:val="auto"/>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（一）标准编制的必要性</w:t>
      </w:r>
    </w:p>
    <w:p w14:paraId="59ADA7C0">
      <w:pPr>
        <w:pStyle w:val="2"/>
        <w:keepNext w:val="0"/>
        <w:keepLines w:val="0"/>
        <w:pageBreakBefore w:val="0"/>
        <w:kinsoku/>
        <w:wordWrap/>
        <w:overflowPunct/>
        <w:topLinePunct w:val="0"/>
        <w:bidi w:val="0"/>
        <w:adjustRightInd w:val="0"/>
        <w:snapToGrid w:val="0"/>
        <w:spacing w:line="540" w:lineRule="exact"/>
        <w:ind w:left="0" w:leftChars="0" w:firstLine="640" w:firstLineChars="200"/>
        <w:textAlignment w:val="auto"/>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为了贯彻落实《中共中央国务院关于开展质量提升行动的指导意见》，加强质量强省建设，坚定不移走“放、管、服”结合的质量治理之路，扎实推进各项质量工作，全面提升质量总体水平。图1为2021年、2022年和2023年江西省食品相关产品获证生产企业调研情况，我省食品相关产品生产企业以小型企业居多，小型企业由于受到各种资源的制约，质量管理体系、产品设计、质量检验等环节存在很多不完善的地方，小型企业对产品质量的认识和控制都有很多不足之处。</w:t>
      </w:r>
    </w:p>
    <w:p w14:paraId="18F5F03A">
      <w:r>
        <w:rPr>
          <w:rFonts w:hint="eastAsia"/>
          <w:lang w:val="en-US" w:eastAsia="zh-CN"/>
        </w:rPr>
        <w:t xml:space="preserve">       </w:t>
      </w:r>
      <w:r>
        <w:drawing>
          <wp:inline distT="0" distB="0" distL="114300" distR="114300">
            <wp:extent cx="4572000" cy="2743200"/>
            <wp:effectExtent l="4445" t="4445" r="14605" b="14605"/>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2B368074">
      <w:pPr>
        <w:pStyle w:val="2"/>
        <w:jc w:val="center"/>
        <w:rPr>
          <w:rFonts w:hint="default" w:eastAsia="宋体"/>
          <w:lang w:val="en-US" w:eastAsia="zh-CN"/>
        </w:rPr>
      </w:pPr>
      <w:r>
        <w:rPr>
          <w:rFonts w:hint="eastAsia"/>
          <w:lang w:val="en-US" w:eastAsia="zh-CN"/>
        </w:rPr>
        <w:t>图1  近三年江西省食品相关产品获证生产企业调研情况</w:t>
      </w:r>
    </w:p>
    <w:p w14:paraId="47A97561">
      <w:pPr>
        <w:pStyle w:val="2"/>
        <w:keepNext w:val="0"/>
        <w:keepLines w:val="0"/>
        <w:pageBreakBefore w:val="0"/>
        <w:kinsoku/>
        <w:wordWrap/>
        <w:overflowPunct/>
        <w:topLinePunct w:val="0"/>
        <w:bidi w:val="0"/>
        <w:adjustRightInd w:val="0"/>
        <w:snapToGrid w:val="0"/>
        <w:spacing w:line="540" w:lineRule="exact"/>
        <w:ind w:left="0" w:leftChars="0" w:firstLine="640" w:firstLineChars="200"/>
        <w:textAlignment w:val="auto"/>
        <w:rPr>
          <w:rFonts w:hint="eastAsia"/>
          <w:color w:val="auto"/>
          <w:highlight w:val="none"/>
          <w:lang w:val="en-US" w:eastAsia="zh-CN"/>
        </w:rPr>
      </w:pPr>
      <w:r>
        <w:rPr>
          <w:rFonts w:hint="eastAsia" w:ascii="仿宋_GB2312" w:hAnsi="Times New Roman" w:eastAsia="仿宋_GB2312"/>
          <w:color w:val="auto"/>
          <w:kern w:val="0"/>
          <w:sz w:val="32"/>
          <w:szCs w:val="32"/>
          <w:highlight w:val="none"/>
          <w:lang w:val="en-US" w:eastAsia="zh-CN"/>
        </w:rPr>
        <w:t>为进一步巩固最几年食品相关产品质量提升工作成果，督促我省食品相关产品生产企业落实产品质量安全主体责任，维护食品相关产品质量安全，促进我省食品相关产品产业基础高级化、产业链现代化，推动食品相关产品制造业高质量发展，结合我省实际情况，特制订本标准。</w:t>
      </w:r>
    </w:p>
    <w:p w14:paraId="085DFEDA">
      <w:pPr>
        <w:keepNext w:val="0"/>
        <w:keepLines w:val="0"/>
        <w:pageBreakBefore w:val="0"/>
        <w:widowControl/>
        <w:suppressLineNumbers w:val="0"/>
        <w:kinsoku/>
        <w:wordWrap/>
        <w:overflowPunct/>
        <w:topLinePunct w:val="0"/>
        <w:autoSpaceDE/>
        <w:autoSpaceDN/>
        <w:bidi w:val="0"/>
        <w:adjustRightInd w:val="0"/>
        <w:snapToGrid w:val="0"/>
        <w:spacing w:line="540" w:lineRule="exact"/>
        <w:ind w:firstLine="640" w:firstLineChars="200"/>
        <w:jc w:val="left"/>
        <w:textAlignment w:val="auto"/>
        <w:rPr>
          <w:rFonts w:hint="default"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（二）标准编制的意义</w:t>
      </w:r>
    </w:p>
    <w:p w14:paraId="00906018">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本标准将细化食品相关产品生产企业质量提升的基本要素和技术要求，包括食品相关产品质量安全管理体系、诚信管理体系、组织机构、确认和验证、基础设施与卫生管理、设备、供应商的评估与批准、物料、生产过程管理和控制、检验、贮存运输与追溯召回、自查和不合格产品监测、投诉与服务、文件和记录管理等内容。</w:t>
      </w:r>
      <w:r>
        <w:rPr>
          <w:rFonts w:hint="eastAsia" w:ascii="仿宋_GB2312" w:hAnsi="仿宋_GB2312" w:eastAsia="仿宋_GB2312" w:cs="宋体"/>
          <w:color w:val="auto"/>
          <w:sz w:val="32"/>
          <w:szCs w:val="32"/>
          <w:highlight w:val="none"/>
          <w:lang w:val="en-US" w:eastAsia="zh-CN"/>
        </w:rPr>
        <w:t>该标准的制定能</w:t>
      </w:r>
      <w:r>
        <w:rPr>
          <w:rFonts w:hint="eastAsia" w:ascii="仿宋_GB2312" w:hAnsi="Times New Roman" w:eastAsia="仿宋_GB2312"/>
          <w:color w:val="auto"/>
          <w:kern w:val="0"/>
          <w:sz w:val="32"/>
          <w:szCs w:val="32"/>
          <w:highlight w:val="none"/>
          <w:lang w:val="en-US" w:eastAsia="zh-CN"/>
        </w:rPr>
        <w:t>鼓励我省规模大的企业打造食品相关产品质量安全文化，构建诚信管理体系、积极推进食品相关产品智能制造、绿色制造和先进技术改造;指导中小微企业将危害分析与关键控制点原理应用于生产全过程，有效预防、消除和降低食品相关产品安全危害。</w:t>
      </w:r>
    </w:p>
    <w:p w14:paraId="40276E6D">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ascii="黑体" w:hAnsi="黑体" w:eastAsia="黑体" w:cs="黑体"/>
          <w:b w:val="0"/>
          <w:bCs/>
          <w:color w:val="auto"/>
          <w:kern w:val="0"/>
          <w:sz w:val="32"/>
          <w:szCs w:val="32"/>
          <w:highlight w:val="none"/>
          <w:lang w:eastAsia="zh-CN"/>
        </w:rPr>
      </w:pPr>
      <w:r>
        <w:rPr>
          <w:rFonts w:hint="eastAsia" w:ascii="黑体" w:hAnsi="黑体" w:eastAsia="黑体" w:cs="黑体"/>
          <w:b w:val="0"/>
          <w:bCs/>
          <w:color w:val="auto"/>
          <w:kern w:val="0"/>
          <w:sz w:val="32"/>
          <w:szCs w:val="32"/>
          <w:highlight w:val="none"/>
        </w:rPr>
        <w:t>三、标准编制原则</w:t>
      </w:r>
    </w:p>
    <w:p w14:paraId="4D80B68F">
      <w:pPr>
        <w:keepNext w:val="0"/>
        <w:keepLines w:val="0"/>
        <w:pageBreakBefore w:val="0"/>
        <w:widowControl/>
        <w:kinsoku/>
        <w:wordWrap/>
        <w:overflowPunct/>
        <w:topLinePunct w:val="0"/>
        <w:autoSpaceDE/>
        <w:autoSpaceDN/>
        <w:bidi w:val="0"/>
        <w:adjustRightInd w:val="0"/>
        <w:snapToGrid w:val="0"/>
        <w:spacing w:line="540" w:lineRule="exact"/>
        <w:ind w:left="0" w:leftChars="0" w:firstLine="640" w:firstLineChars="200"/>
        <w:textAlignment w:val="auto"/>
        <w:outlineLvl w:val="0"/>
        <w:rPr>
          <w:rFonts w:hint="eastAsia" w:ascii="仿宋_GB2312" w:hAnsi="Times New Roman" w:eastAsia="仿宋_GB2312"/>
          <w:color w:val="auto"/>
          <w:kern w:val="0"/>
          <w:sz w:val="32"/>
          <w:szCs w:val="32"/>
          <w:highlight w:val="none"/>
        </w:rPr>
      </w:pPr>
      <w:r>
        <w:rPr>
          <w:rFonts w:hint="eastAsia" w:ascii="仿宋_GB2312" w:hAnsi="Times New Roman" w:eastAsia="仿宋_GB2312"/>
          <w:color w:val="auto"/>
          <w:kern w:val="0"/>
          <w:sz w:val="32"/>
          <w:szCs w:val="32"/>
          <w:highlight w:val="none"/>
        </w:rPr>
        <w:t>本标准在编制过程中，主要遵循了科学性、</w:t>
      </w:r>
      <w:r>
        <w:rPr>
          <w:rFonts w:hint="eastAsia" w:ascii="仿宋_GB2312" w:hAnsi="Times New Roman" w:eastAsia="仿宋_GB2312"/>
          <w:color w:val="auto"/>
          <w:kern w:val="0"/>
          <w:sz w:val="32"/>
          <w:szCs w:val="32"/>
          <w:highlight w:val="none"/>
          <w:lang w:eastAsia="zh-CN"/>
        </w:rPr>
        <w:t>适用性、</w:t>
      </w:r>
      <w:r>
        <w:rPr>
          <w:rFonts w:hint="eastAsia" w:ascii="仿宋_GB2312" w:hAnsi="Times New Roman" w:eastAsia="仿宋_GB2312"/>
          <w:color w:val="auto"/>
          <w:kern w:val="0"/>
          <w:sz w:val="32"/>
          <w:szCs w:val="32"/>
          <w:highlight w:val="none"/>
        </w:rPr>
        <w:t>规范性</w:t>
      </w:r>
      <w:r>
        <w:rPr>
          <w:rFonts w:hint="eastAsia" w:ascii="仿宋_GB2312" w:hAnsi="Times New Roman" w:eastAsia="仿宋_GB2312"/>
          <w:color w:val="auto"/>
          <w:kern w:val="0"/>
          <w:sz w:val="32"/>
          <w:szCs w:val="32"/>
          <w:highlight w:val="none"/>
          <w:lang w:val="en-US" w:eastAsia="zh-CN"/>
        </w:rPr>
        <w:t>和可操作性</w:t>
      </w:r>
      <w:r>
        <w:rPr>
          <w:rFonts w:hint="eastAsia" w:ascii="仿宋_GB2312" w:hAnsi="Times New Roman" w:eastAsia="仿宋_GB2312"/>
          <w:color w:val="auto"/>
          <w:kern w:val="0"/>
          <w:sz w:val="32"/>
          <w:szCs w:val="32"/>
          <w:highlight w:val="none"/>
        </w:rPr>
        <w:t>的原则。</w:t>
      </w:r>
    </w:p>
    <w:p w14:paraId="201C88B6">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firstLine="640" w:firstLineChars="200"/>
        <w:textAlignment w:val="auto"/>
        <w:outlineLvl w:val="0"/>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（一）科学性原则</w:t>
      </w:r>
    </w:p>
    <w:p w14:paraId="03420E5A">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textAlignment w:val="auto"/>
        <w:outlineLvl w:val="0"/>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本标准严格遵守国家相关法律、文件，深入钻研相关理论，认真梳理国家层面和省内相关的法律法规和政策文本，按《中共中央 国务院 关于开展质量提升行动的指导意见》、《工业产品生产单位落实质量安全主体责任监督管理规定》（国家市场监督管理总局令第75号）、《食品相关产品质量安全监督管理暂行办法》（国家市场监督管理总局令第62号）、GB 31603-2015《食品安全国家标准 食品接触材料及制品生产通用卫生规范》和江西省《关于开展质量提升行动建设质量强省的实施意见》中的原则要求进行编写。与食品相关产品生产企业、</w:t>
      </w:r>
      <w:r>
        <w:rPr>
          <w:rFonts w:hint="eastAsia" w:ascii="仿宋_GB2312" w:hAnsi="Times New Roman" w:eastAsia="仿宋_GB2312"/>
          <w:color w:val="auto"/>
          <w:sz w:val="32"/>
          <w:szCs w:val="32"/>
          <w:lang w:val="en-US" w:eastAsia="zh-CN"/>
        </w:rPr>
        <w:t>各级</w:t>
      </w:r>
      <w:r>
        <w:rPr>
          <w:rFonts w:hint="eastAsia" w:ascii="仿宋_GB2312" w:hAnsi="仿宋_GB2312" w:eastAsia="仿宋_GB2312" w:cs="宋体"/>
          <w:color w:val="auto"/>
          <w:sz w:val="32"/>
          <w:szCs w:val="32"/>
          <w:highlight w:val="none"/>
          <w:lang w:eastAsia="zh-CN"/>
        </w:rPr>
        <w:t>食品相关产品</w:t>
      </w:r>
      <w:r>
        <w:rPr>
          <w:rFonts w:hint="eastAsia" w:ascii="仿宋_GB2312" w:hAnsi="Times New Roman" w:eastAsia="仿宋_GB2312" w:cs="Times New Roman"/>
          <w:color w:val="000000"/>
          <w:kern w:val="2"/>
          <w:sz w:val="32"/>
          <w:szCs w:val="32"/>
          <w:lang w:val="en-US" w:eastAsia="zh-CN" w:bidi="ar-SA"/>
        </w:rPr>
        <w:t>监管部门及相关技术机构</w:t>
      </w:r>
      <w:r>
        <w:rPr>
          <w:rFonts w:hint="eastAsia" w:ascii="仿宋_GB2312" w:hAnsi="Times New Roman" w:eastAsia="仿宋_GB2312"/>
          <w:color w:val="auto"/>
          <w:kern w:val="0"/>
          <w:sz w:val="32"/>
          <w:szCs w:val="32"/>
          <w:highlight w:val="none"/>
          <w:lang w:val="en-US" w:eastAsia="zh-CN"/>
        </w:rPr>
        <w:t>开展交流，掌握</w:t>
      </w:r>
      <w:r>
        <w:rPr>
          <w:rFonts w:hint="eastAsia" w:ascii="仿宋_GB2312" w:hAnsi="Times New Roman" w:eastAsia="仿宋_GB2312"/>
          <w:color w:val="auto"/>
          <w:kern w:val="0"/>
          <w:sz w:val="32"/>
          <w:szCs w:val="32"/>
          <w:highlight w:val="none"/>
          <w:lang w:eastAsia="zh-CN"/>
        </w:rPr>
        <w:t>各地食品相关产品生产企业</w:t>
      </w:r>
      <w:r>
        <w:rPr>
          <w:rFonts w:hint="eastAsia" w:ascii="仿宋_GB2312" w:hAnsi="Times New Roman" w:eastAsia="仿宋_GB2312"/>
          <w:color w:val="auto"/>
          <w:kern w:val="0"/>
          <w:sz w:val="32"/>
          <w:szCs w:val="32"/>
          <w:highlight w:val="none"/>
          <w:lang w:val="en-US" w:eastAsia="zh-CN"/>
        </w:rPr>
        <w:t>物料采购、加工、控制、检验及贮存、运输等生产全过程运行情况，在理论和实际工作方面体现该标准的可行性和科学性。</w:t>
      </w:r>
    </w:p>
    <w:p w14:paraId="5FE2DD15">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firstLine="640" w:firstLineChars="200"/>
        <w:textAlignment w:val="auto"/>
        <w:outlineLvl w:val="0"/>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（二）适用性原则</w:t>
      </w:r>
    </w:p>
    <w:p w14:paraId="18A2D664">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textAlignment w:val="auto"/>
        <w:outlineLvl w:val="0"/>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以推动我省</w:t>
      </w:r>
      <w:r>
        <w:rPr>
          <w:rFonts w:hint="eastAsia" w:ascii="仿宋_GB2312" w:hAnsi="Times New Roman" w:eastAsia="仿宋_GB2312"/>
          <w:color w:val="auto"/>
          <w:kern w:val="0"/>
          <w:sz w:val="32"/>
          <w:szCs w:val="32"/>
          <w:highlight w:val="none"/>
          <w:lang w:eastAsia="zh-CN"/>
        </w:rPr>
        <w:t>食品相关产品生产企业</w:t>
      </w:r>
      <w:r>
        <w:rPr>
          <w:rFonts w:hint="eastAsia" w:ascii="仿宋_GB2312" w:hAnsi="Times New Roman" w:eastAsia="仿宋_GB2312"/>
          <w:color w:val="auto"/>
          <w:kern w:val="0"/>
          <w:sz w:val="32"/>
          <w:szCs w:val="32"/>
          <w:highlight w:val="none"/>
          <w:lang w:val="en-US" w:eastAsia="zh-CN"/>
        </w:rPr>
        <w:t>开展</w:t>
      </w:r>
      <w:r>
        <w:rPr>
          <w:rFonts w:hint="eastAsia" w:ascii="仿宋_GB2312" w:hAnsi="Times New Roman" w:eastAsia="仿宋_GB2312"/>
          <w:color w:val="auto"/>
          <w:kern w:val="0"/>
          <w:sz w:val="32"/>
          <w:szCs w:val="32"/>
          <w:highlight w:val="none"/>
          <w:lang w:eastAsia="zh-CN"/>
        </w:rPr>
        <w:t>质量提升</w:t>
      </w:r>
      <w:r>
        <w:rPr>
          <w:rFonts w:hint="eastAsia" w:ascii="仿宋_GB2312" w:hAnsi="Times New Roman" w:eastAsia="仿宋_GB2312"/>
          <w:color w:val="auto"/>
          <w:kern w:val="0"/>
          <w:sz w:val="32"/>
          <w:szCs w:val="32"/>
          <w:highlight w:val="none"/>
          <w:lang w:val="en-US" w:eastAsia="zh-CN"/>
        </w:rPr>
        <w:t>工作为基础，标准制定充分考虑了我省</w:t>
      </w:r>
      <w:r>
        <w:rPr>
          <w:rFonts w:hint="eastAsia" w:ascii="仿宋_GB2312" w:hAnsi="Times New Roman" w:eastAsia="仿宋_GB2312"/>
          <w:color w:val="auto"/>
          <w:kern w:val="0"/>
          <w:sz w:val="32"/>
          <w:szCs w:val="32"/>
          <w:highlight w:val="none"/>
          <w:lang w:eastAsia="zh-CN"/>
        </w:rPr>
        <w:t>食品相关产品生产企业</w:t>
      </w:r>
      <w:r>
        <w:rPr>
          <w:rFonts w:hint="eastAsia" w:ascii="仿宋_GB2312" w:hAnsi="Times New Roman" w:eastAsia="仿宋_GB2312"/>
          <w:color w:val="auto"/>
          <w:kern w:val="0"/>
          <w:sz w:val="32"/>
          <w:szCs w:val="32"/>
          <w:highlight w:val="none"/>
          <w:lang w:val="en-US" w:eastAsia="zh-CN"/>
        </w:rPr>
        <w:t>的实际情况，详细梳理了</w:t>
      </w:r>
      <w:r>
        <w:rPr>
          <w:rFonts w:hint="eastAsia" w:ascii="仿宋_GB2312" w:hAnsi="Times New Roman" w:eastAsia="仿宋_GB2312"/>
          <w:color w:val="auto"/>
          <w:kern w:val="0"/>
          <w:sz w:val="32"/>
          <w:szCs w:val="32"/>
          <w:highlight w:val="none"/>
          <w:lang w:eastAsia="zh-CN"/>
        </w:rPr>
        <w:t>食品相关产品生产企业质量提升</w:t>
      </w:r>
      <w:r>
        <w:rPr>
          <w:rFonts w:hint="eastAsia" w:ascii="仿宋_GB2312" w:hAnsi="Times New Roman" w:eastAsia="仿宋_GB2312"/>
          <w:color w:val="auto"/>
          <w:kern w:val="0"/>
          <w:sz w:val="32"/>
          <w:szCs w:val="32"/>
          <w:highlight w:val="none"/>
          <w:lang w:val="en-US" w:eastAsia="zh-CN"/>
        </w:rPr>
        <w:t>工作操作流程，明确了</w:t>
      </w:r>
      <w:r>
        <w:rPr>
          <w:rFonts w:hint="eastAsia" w:ascii="仿宋_GB2312" w:hAnsi="Times New Roman" w:eastAsia="仿宋_GB2312"/>
          <w:color w:val="auto"/>
          <w:kern w:val="0"/>
          <w:sz w:val="32"/>
          <w:szCs w:val="32"/>
          <w:highlight w:val="none"/>
          <w:lang w:eastAsia="zh-CN"/>
        </w:rPr>
        <w:t>食品相关产品生产企业质量提升</w:t>
      </w:r>
      <w:r>
        <w:rPr>
          <w:rFonts w:hint="eastAsia" w:ascii="仿宋_GB2312" w:hAnsi="Times New Roman" w:eastAsia="仿宋_GB2312"/>
          <w:color w:val="auto"/>
          <w:kern w:val="0"/>
          <w:sz w:val="32"/>
          <w:szCs w:val="32"/>
          <w:highlight w:val="none"/>
          <w:lang w:val="en-US" w:eastAsia="zh-CN"/>
        </w:rPr>
        <w:t>工作的原则，以及对</w:t>
      </w:r>
      <w:r>
        <w:rPr>
          <w:rFonts w:hint="eastAsia" w:ascii="仿宋_GB2312" w:hAnsi="Times New Roman" w:eastAsia="仿宋_GB2312"/>
          <w:color w:val="auto"/>
          <w:kern w:val="0"/>
          <w:sz w:val="32"/>
          <w:szCs w:val="32"/>
          <w:highlight w:val="none"/>
          <w:lang w:eastAsia="zh-CN"/>
        </w:rPr>
        <w:t>食品相关产品的物料采购、加工、控制、检验及贮存、运输等生产全过程</w:t>
      </w:r>
      <w:r>
        <w:rPr>
          <w:rFonts w:hint="eastAsia" w:ascii="仿宋_GB2312" w:hAnsi="Times New Roman" w:eastAsia="仿宋_GB2312"/>
          <w:color w:val="auto"/>
          <w:kern w:val="0"/>
          <w:sz w:val="32"/>
          <w:szCs w:val="32"/>
          <w:highlight w:val="none"/>
          <w:lang w:val="en-US" w:eastAsia="zh-CN"/>
        </w:rPr>
        <w:t>工作中的相关要求。</w:t>
      </w:r>
    </w:p>
    <w:p w14:paraId="0A78CB23">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textAlignment w:val="auto"/>
        <w:outlineLvl w:val="0"/>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（三）</w:t>
      </w:r>
      <w:r>
        <w:rPr>
          <w:rFonts w:hint="eastAsia" w:ascii="仿宋_GB2312" w:hAnsi="Times New Roman" w:eastAsia="仿宋_GB2312"/>
          <w:color w:val="auto"/>
          <w:kern w:val="0"/>
          <w:sz w:val="32"/>
          <w:szCs w:val="32"/>
          <w:highlight w:val="none"/>
        </w:rPr>
        <w:t>规范性</w:t>
      </w:r>
      <w:r>
        <w:rPr>
          <w:rFonts w:hint="eastAsia" w:ascii="仿宋_GB2312" w:hAnsi="Times New Roman" w:eastAsia="仿宋_GB2312"/>
          <w:color w:val="auto"/>
          <w:kern w:val="0"/>
          <w:sz w:val="32"/>
          <w:szCs w:val="32"/>
          <w:highlight w:val="none"/>
          <w:lang w:val="en-US" w:eastAsia="zh-CN"/>
        </w:rPr>
        <w:t>原则</w:t>
      </w:r>
    </w:p>
    <w:p w14:paraId="708D3FBB">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textAlignment w:val="auto"/>
        <w:outlineLvl w:val="0"/>
        <w:rPr>
          <w:rFonts w:hint="eastAsia" w:ascii="仿宋_GB2312" w:hAnsi="Times New Roman" w:eastAsia="仿宋_GB2312"/>
          <w:color w:val="auto"/>
          <w:kern w:val="0"/>
          <w:sz w:val="32"/>
          <w:szCs w:val="32"/>
          <w:highlight w:val="none"/>
        </w:rPr>
      </w:pPr>
      <w:r>
        <w:rPr>
          <w:rFonts w:hint="eastAsia" w:ascii="仿宋_GB2312" w:hAnsi="Times New Roman" w:eastAsia="仿宋_GB2312"/>
          <w:color w:val="auto"/>
          <w:kern w:val="0"/>
          <w:sz w:val="32"/>
          <w:szCs w:val="32"/>
          <w:highlight w:val="none"/>
          <w:lang w:eastAsia="zh-CN"/>
        </w:rPr>
        <w:t>本标准</w:t>
      </w:r>
      <w:r>
        <w:rPr>
          <w:rFonts w:hint="eastAsia" w:ascii="仿宋_GB2312" w:hAnsi="Times New Roman" w:eastAsia="仿宋_GB2312"/>
          <w:color w:val="auto"/>
          <w:kern w:val="0"/>
          <w:sz w:val="32"/>
          <w:szCs w:val="32"/>
          <w:highlight w:val="none"/>
        </w:rPr>
        <w:t>格式上严格按照GB/T</w:t>
      </w:r>
      <w:r>
        <w:rPr>
          <w:rFonts w:hint="eastAsia" w:ascii="仿宋_GB2312" w:hAnsi="Times New Roman" w:eastAsia="仿宋_GB2312"/>
          <w:color w:val="auto"/>
          <w:kern w:val="0"/>
          <w:sz w:val="32"/>
          <w:szCs w:val="32"/>
          <w:highlight w:val="none"/>
          <w:lang w:val="en-US" w:eastAsia="zh-CN"/>
        </w:rPr>
        <w:t xml:space="preserve"> </w:t>
      </w:r>
      <w:r>
        <w:rPr>
          <w:rFonts w:hint="eastAsia" w:ascii="仿宋_GB2312" w:hAnsi="Times New Roman" w:eastAsia="仿宋_GB2312"/>
          <w:color w:val="auto"/>
          <w:kern w:val="0"/>
          <w:sz w:val="32"/>
          <w:szCs w:val="32"/>
          <w:highlight w:val="none"/>
        </w:rPr>
        <w:t>1.1-20</w:t>
      </w:r>
      <w:r>
        <w:rPr>
          <w:rFonts w:ascii="仿宋_GB2312" w:hAnsi="Times New Roman" w:eastAsia="仿宋_GB2312"/>
          <w:color w:val="auto"/>
          <w:kern w:val="0"/>
          <w:sz w:val="32"/>
          <w:szCs w:val="32"/>
          <w:highlight w:val="none"/>
        </w:rPr>
        <w:t>20</w:t>
      </w:r>
      <w:r>
        <w:rPr>
          <w:rFonts w:hint="eastAsia" w:ascii="仿宋_GB2312" w:hAnsi="Times New Roman" w:eastAsia="仿宋_GB2312"/>
          <w:color w:val="auto"/>
          <w:kern w:val="0"/>
          <w:sz w:val="32"/>
          <w:szCs w:val="32"/>
          <w:highlight w:val="none"/>
        </w:rPr>
        <w:t>的规定进行编写。</w:t>
      </w:r>
    </w:p>
    <w:p w14:paraId="324679AC">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leftChars="0" w:firstLine="640" w:firstLineChars="200"/>
        <w:textAlignment w:val="auto"/>
        <w:outlineLvl w:val="0"/>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（四）可操作性原则</w:t>
      </w:r>
    </w:p>
    <w:p w14:paraId="297185A3">
      <w:pPr>
        <w:keepNext w:val="0"/>
        <w:keepLines w:val="0"/>
        <w:pageBreakBefore w:val="0"/>
        <w:widowControl/>
        <w:numPr>
          <w:ilvl w:val="0"/>
          <w:numId w:val="0"/>
        </w:numPr>
        <w:kinsoku/>
        <w:wordWrap/>
        <w:overflowPunct/>
        <w:topLinePunct w:val="0"/>
        <w:autoSpaceDE/>
        <w:autoSpaceDN/>
        <w:bidi w:val="0"/>
        <w:adjustRightInd w:val="0"/>
        <w:snapToGrid w:val="0"/>
        <w:spacing w:line="540" w:lineRule="exact"/>
        <w:ind w:firstLine="640" w:firstLineChars="200"/>
        <w:textAlignment w:val="auto"/>
        <w:outlineLvl w:val="0"/>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本标准结合了我省</w:t>
      </w:r>
      <w:r>
        <w:rPr>
          <w:rFonts w:hint="eastAsia" w:ascii="仿宋_GB2312" w:hAnsi="Times New Roman" w:eastAsia="仿宋_GB2312"/>
          <w:color w:val="auto"/>
          <w:kern w:val="0"/>
          <w:sz w:val="32"/>
          <w:szCs w:val="32"/>
          <w:highlight w:val="none"/>
          <w:lang w:eastAsia="zh-CN"/>
        </w:rPr>
        <w:t>食品相关产品生产企业</w:t>
      </w:r>
      <w:r>
        <w:rPr>
          <w:rFonts w:hint="eastAsia" w:ascii="仿宋_GB2312" w:hAnsi="Times New Roman" w:eastAsia="仿宋_GB2312" w:cs="Times New Roman"/>
          <w:color w:val="auto"/>
          <w:kern w:val="0"/>
          <w:sz w:val="32"/>
          <w:szCs w:val="32"/>
          <w:highlight w:val="none"/>
          <w:lang w:eastAsia="zh-CN"/>
        </w:rPr>
        <w:t>生产</w:t>
      </w:r>
      <w:r>
        <w:rPr>
          <w:rFonts w:hint="eastAsia" w:ascii="仿宋_GB2312" w:hAnsi="Times New Roman" w:eastAsia="仿宋_GB2312" w:cs="Times New Roman"/>
          <w:color w:val="auto"/>
          <w:kern w:val="0"/>
          <w:sz w:val="32"/>
          <w:szCs w:val="32"/>
          <w:highlight w:val="none"/>
          <w:lang w:val="en-US" w:eastAsia="zh-CN"/>
        </w:rPr>
        <w:t>过程</w:t>
      </w:r>
      <w:r>
        <w:rPr>
          <w:rFonts w:hint="eastAsia" w:ascii="仿宋_GB2312" w:hAnsi="Times New Roman" w:eastAsia="仿宋_GB2312" w:cs="Times New Roman"/>
          <w:color w:val="auto"/>
          <w:kern w:val="0"/>
          <w:sz w:val="32"/>
          <w:szCs w:val="32"/>
          <w:highlight w:val="none"/>
          <w:lang w:eastAsia="zh-CN"/>
        </w:rPr>
        <w:t>中的</w:t>
      </w:r>
      <w:r>
        <w:rPr>
          <w:rFonts w:hint="eastAsia" w:ascii="仿宋_GB2312" w:hAnsi="Times New Roman" w:eastAsia="仿宋_GB2312" w:cs="Times New Roman"/>
          <w:color w:val="auto"/>
          <w:kern w:val="0"/>
          <w:sz w:val="32"/>
          <w:szCs w:val="32"/>
          <w:highlight w:val="none"/>
          <w:lang w:val="en-US" w:eastAsia="zh-CN"/>
        </w:rPr>
        <w:t>各种实际</w:t>
      </w:r>
      <w:r>
        <w:rPr>
          <w:rFonts w:hint="eastAsia" w:ascii="仿宋_GB2312" w:hAnsi="Times New Roman" w:eastAsia="仿宋_GB2312"/>
          <w:color w:val="auto"/>
          <w:kern w:val="0"/>
          <w:sz w:val="32"/>
          <w:szCs w:val="32"/>
          <w:highlight w:val="none"/>
          <w:lang w:val="en-US" w:eastAsia="zh-CN"/>
        </w:rPr>
        <w:t>操作，能为不同规模和类型的</w:t>
      </w:r>
      <w:r>
        <w:rPr>
          <w:rFonts w:hint="eastAsia" w:ascii="仿宋_GB2312" w:hAnsi="Times New Roman" w:eastAsia="仿宋_GB2312"/>
          <w:color w:val="auto"/>
          <w:kern w:val="0"/>
          <w:sz w:val="32"/>
          <w:szCs w:val="32"/>
          <w:highlight w:val="none"/>
          <w:lang w:eastAsia="zh-CN"/>
        </w:rPr>
        <w:t>食品相关产品生产企业</w:t>
      </w:r>
      <w:r>
        <w:rPr>
          <w:rFonts w:hint="eastAsia" w:ascii="仿宋_GB2312" w:hAnsi="Times New Roman" w:eastAsia="仿宋_GB2312"/>
          <w:color w:val="auto"/>
          <w:kern w:val="0"/>
          <w:sz w:val="32"/>
          <w:szCs w:val="32"/>
          <w:highlight w:val="none"/>
          <w:lang w:val="en-US" w:eastAsia="zh-CN"/>
        </w:rPr>
        <w:t>开展质量提升工作提供参考及标准依据。</w:t>
      </w:r>
    </w:p>
    <w:p w14:paraId="170A6560">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四、标准编制过程</w:t>
      </w:r>
    </w:p>
    <w:p w14:paraId="0AB1F36F">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宋体"/>
          <w:color w:val="auto"/>
          <w:sz w:val="32"/>
          <w:szCs w:val="32"/>
          <w:highlight w:val="none"/>
        </w:rPr>
      </w:pPr>
      <w:r>
        <w:rPr>
          <w:rFonts w:hint="eastAsia" w:ascii="仿宋_GB2312" w:hAnsi="仿宋_GB2312" w:eastAsia="仿宋_GB2312" w:cs="宋体"/>
          <w:color w:val="auto"/>
          <w:sz w:val="32"/>
          <w:szCs w:val="32"/>
          <w:highlight w:val="none"/>
        </w:rPr>
        <w:t>本标准的起草小组由</w:t>
      </w:r>
      <w:r>
        <w:rPr>
          <w:rFonts w:hint="eastAsia" w:ascii="仿宋_GB2312" w:hAnsi="Times New Roman" w:eastAsia="仿宋_GB2312"/>
          <w:color w:val="auto"/>
          <w:kern w:val="0"/>
          <w:sz w:val="32"/>
          <w:szCs w:val="32"/>
          <w:highlight w:val="none"/>
          <w:lang w:val="en-US" w:eastAsia="zh-CN"/>
        </w:rPr>
        <w:t>江西省市场监督管理局质量发展局、江西省检验检测认证总院工业产品检验检测院负责起草</w:t>
      </w:r>
      <w:r>
        <w:rPr>
          <w:rFonts w:hint="eastAsia" w:ascii="仿宋_GB2312" w:hAnsi="仿宋_GB2312" w:eastAsia="仿宋_GB2312" w:cs="宋体"/>
          <w:color w:val="auto"/>
          <w:sz w:val="32"/>
          <w:szCs w:val="32"/>
          <w:highlight w:val="none"/>
        </w:rPr>
        <w:t>共同组建，具体工作流程安排如下：</w:t>
      </w:r>
    </w:p>
    <w:p w14:paraId="6339EC4F">
      <w:pPr>
        <w:keepNext w:val="0"/>
        <w:keepLines w:val="0"/>
        <w:pageBreakBefore w:val="0"/>
        <w:kinsoku/>
        <w:wordWrap/>
        <w:overflowPunct/>
        <w:topLinePunct w:val="0"/>
        <w:bidi w:val="0"/>
        <w:adjustRightInd w:val="0"/>
        <w:snapToGrid w:val="0"/>
        <w:spacing w:line="540" w:lineRule="exact"/>
        <w:ind w:firstLine="640" w:firstLineChars="200"/>
        <w:textAlignment w:val="auto"/>
        <w:rPr>
          <w:rFonts w:hint="eastAsia" w:ascii="仿宋_GB2312" w:hAnsi="仿宋_GB2312" w:eastAsia="仿宋_GB2312" w:cs="宋体"/>
          <w:color w:val="auto"/>
          <w:sz w:val="32"/>
          <w:szCs w:val="32"/>
          <w:highlight w:val="none"/>
        </w:rPr>
      </w:pPr>
      <w:r>
        <w:rPr>
          <w:rFonts w:hint="default" w:ascii="仿宋_GB2312" w:hAnsi="仿宋_GB2312" w:eastAsia="仿宋_GB2312" w:cs="宋体"/>
          <w:color w:val="auto"/>
          <w:sz w:val="32"/>
          <w:szCs w:val="32"/>
          <w:highlight w:val="none"/>
        </w:rPr>
        <w:t>（</w:t>
      </w:r>
      <w:r>
        <w:rPr>
          <w:rFonts w:hint="default" w:ascii="仿宋_GB2312" w:hAnsi="仿宋_GB2312" w:eastAsia="仿宋_GB2312" w:cs="宋体"/>
          <w:color w:val="auto"/>
          <w:sz w:val="32"/>
          <w:szCs w:val="32"/>
          <w:highlight w:val="none"/>
          <w:lang w:val="en-US" w:eastAsia="zh-CN"/>
        </w:rPr>
        <w:t>1</w:t>
      </w:r>
      <w:r>
        <w:rPr>
          <w:rFonts w:hint="default" w:ascii="仿宋_GB2312" w:hAnsi="仿宋_GB2312" w:eastAsia="仿宋_GB2312" w:cs="宋体"/>
          <w:color w:val="auto"/>
          <w:sz w:val="32"/>
          <w:szCs w:val="32"/>
          <w:highlight w:val="none"/>
        </w:rPr>
        <w:t>）</w:t>
      </w:r>
      <w:r>
        <w:rPr>
          <w:rFonts w:hint="eastAsia" w:ascii="仿宋_GB2312" w:hAnsi="仿宋_GB2312" w:eastAsia="仿宋_GB2312" w:cs="宋体"/>
          <w:color w:val="auto"/>
          <w:sz w:val="32"/>
          <w:szCs w:val="32"/>
          <w:highlight w:val="none"/>
        </w:rPr>
        <w:t>成立</w:t>
      </w:r>
      <w:r>
        <w:rPr>
          <w:rFonts w:hint="eastAsia" w:ascii="仿宋_GB2312" w:hAnsi="仿宋_GB2312" w:eastAsia="仿宋_GB2312" w:cs="宋体"/>
          <w:color w:val="auto"/>
          <w:sz w:val="32"/>
          <w:szCs w:val="32"/>
          <w:highlight w:val="none"/>
          <w:lang w:eastAsia="zh-CN"/>
        </w:rPr>
        <w:t>起草</w:t>
      </w:r>
      <w:r>
        <w:rPr>
          <w:rFonts w:hint="eastAsia" w:ascii="仿宋_GB2312" w:hAnsi="仿宋_GB2312" w:eastAsia="仿宋_GB2312" w:cs="宋体"/>
          <w:color w:val="auto"/>
          <w:sz w:val="32"/>
          <w:szCs w:val="32"/>
          <w:highlight w:val="none"/>
        </w:rPr>
        <w:t>小组</w:t>
      </w:r>
    </w:p>
    <w:p w14:paraId="651C8D84">
      <w:pPr>
        <w:keepNext w:val="0"/>
        <w:keepLines w:val="0"/>
        <w:pageBreakBefore w:val="0"/>
        <w:numPr>
          <w:ilvl w:val="0"/>
          <w:numId w:val="0"/>
        </w:numPr>
        <w:kinsoku/>
        <w:wordWrap/>
        <w:overflowPunct/>
        <w:topLinePunct w:val="0"/>
        <w:bidi w:val="0"/>
        <w:adjustRightInd w:val="0"/>
        <w:snapToGrid w:val="0"/>
        <w:spacing w:line="540" w:lineRule="exact"/>
        <w:ind w:firstLine="640" w:firstLineChars="200"/>
        <w:textAlignment w:val="auto"/>
        <w:rPr>
          <w:rFonts w:hint="eastAsia" w:ascii="仿宋_GB2312" w:hAnsi="仿宋_GB2312" w:eastAsia="仿宋_GB2312" w:cs="宋体"/>
          <w:color w:val="auto"/>
          <w:sz w:val="32"/>
          <w:szCs w:val="32"/>
          <w:highlight w:val="none"/>
        </w:rPr>
      </w:pPr>
      <w:r>
        <w:rPr>
          <w:rFonts w:hint="eastAsia" w:ascii="仿宋_GB2312" w:hAnsi="Times New Roman" w:eastAsia="仿宋_GB2312"/>
          <w:color w:val="auto"/>
          <w:kern w:val="0"/>
          <w:sz w:val="32"/>
          <w:szCs w:val="32"/>
          <w:highlight w:val="none"/>
        </w:rPr>
        <w:t>成立《</w:t>
      </w:r>
      <w:r>
        <w:rPr>
          <w:rFonts w:hint="eastAsia" w:ascii="仿宋_GB2312" w:hAnsi="仿宋_GB2312" w:eastAsia="仿宋_GB2312" w:cs="宋体"/>
          <w:color w:val="auto"/>
          <w:sz w:val="32"/>
          <w:szCs w:val="32"/>
          <w:highlight w:val="none"/>
          <w:lang w:eastAsia="zh-CN"/>
        </w:rPr>
        <w:t>食品相关产品生产企业质量提升指南</w:t>
      </w:r>
      <w:r>
        <w:rPr>
          <w:rFonts w:hint="eastAsia" w:ascii="仿宋_GB2312" w:hAnsi="Times New Roman" w:eastAsia="仿宋_GB2312"/>
          <w:color w:val="auto"/>
          <w:kern w:val="0"/>
          <w:sz w:val="32"/>
          <w:szCs w:val="32"/>
          <w:highlight w:val="none"/>
        </w:rPr>
        <w:t>》</w:t>
      </w:r>
      <w:r>
        <w:rPr>
          <w:rFonts w:hint="eastAsia" w:ascii="仿宋_GB2312" w:hAnsi="Times New Roman" w:eastAsia="仿宋_GB2312"/>
          <w:color w:val="auto"/>
          <w:kern w:val="0"/>
          <w:sz w:val="32"/>
          <w:szCs w:val="32"/>
          <w:highlight w:val="none"/>
          <w:lang w:eastAsia="zh-CN"/>
        </w:rPr>
        <w:t>省级</w:t>
      </w:r>
      <w:r>
        <w:rPr>
          <w:rFonts w:hint="eastAsia" w:ascii="仿宋_GB2312" w:hAnsi="Times New Roman" w:eastAsia="仿宋_GB2312"/>
          <w:color w:val="auto"/>
          <w:kern w:val="0"/>
          <w:sz w:val="32"/>
          <w:szCs w:val="32"/>
          <w:highlight w:val="none"/>
        </w:rPr>
        <w:t>地方标准起草小组，</w:t>
      </w:r>
      <w:r>
        <w:rPr>
          <w:rFonts w:hint="eastAsia" w:ascii="仿宋_GB2312" w:hAnsi="仿宋_GB2312" w:eastAsia="仿宋_GB2312" w:cs="宋体"/>
          <w:color w:val="auto"/>
          <w:sz w:val="32"/>
          <w:szCs w:val="32"/>
          <w:highlight w:val="none"/>
        </w:rPr>
        <w:t>明确任务分工和工作职责，制定标准化工作方案，全面推进标准化编制工作。</w:t>
      </w:r>
    </w:p>
    <w:p w14:paraId="67F64448">
      <w:pPr>
        <w:keepNext w:val="0"/>
        <w:keepLines w:val="0"/>
        <w:pageBreakBefore w:val="0"/>
        <w:kinsoku/>
        <w:wordWrap/>
        <w:overflowPunct/>
        <w:topLinePunct w:val="0"/>
        <w:bidi w:val="0"/>
        <w:adjustRightInd w:val="0"/>
        <w:snapToGrid w:val="0"/>
        <w:spacing w:line="540" w:lineRule="exact"/>
        <w:ind w:firstLine="640" w:firstLineChars="200"/>
        <w:textAlignment w:val="auto"/>
        <w:rPr>
          <w:rFonts w:hint="default" w:ascii="仿宋_GB2312" w:hAnsi="仿宋_GB2312" w:eastAsia="仿宋_GB2312" w:cs="宋体"/>
          <w:color w:val="auto"/>
          <w:sz w:val="32"/>
          <w:szCs w:val="32"/>
          <w:highlight w:val="none"/>
        </w:rPr>
      </w:pPr>
      <w:r>
        <w:rPr>
          <w:rFonts w:hint="default" w:ascii="仿宋_GB2312" w:hAnsi="仿宋_GB2312" w:eastAsia="仿宋_GB2312" w:cs="宋体"/>
          <w:color w:val="auto"/>
          <w:sz w:val="32"/>
          <w:szCs w:val="32"/>
          <w:highlight w:val="none"/>
        </w:rPr>
        <w:t>（</w:t>
      </w:r>
      <w:r>
        <w:rPr>
          <w:rFonts w:hint="eastAsia" w:ascii="仿宋_GB2312" w:hAnsi="仿宋_GB2312" w:eastAsia="仿宋_GB2312" w:cs="宋体"/>
          <w:color w:val="auto"/>
          <w:sz w:val="32"/>
          <w:szCs w:val="32"/>
          <w:highlight w:val="none"/>
          <w:lang w:val="en-US" w:eastAsia="zh-CN"/>
        </w:rPr>
        <w:t>2</w:t>
      </w:r>
      <w:r>
        <w:rPr>
          <w:rFonts w:hint="default" w:ascii="仿宋_GB2312" w:hAnsi="仿宋_GB2312" w:eastAsia="仿宋_GB2312" w:cs="宋体"/>
          <w:color w:val="auto"/>
          <w:sz w:val="32"/>
          <w:szCs w:val="32"/>
          <w:highlight w:val="none"/>
        </w:rPr>
        <w:t>）调研与材料收集</w:t>
      </w:r>
    </w:p>
    <w:p w14:paraId="482C80C3">
      <w:pPr>
        <w:keepNext w:val="0"/>
        <w:keepLines w:val="0"/>
        <w:pageBreakBefore w:val="0"/>
        <w:numPr>
          <w:ilvl w:val="0"/>
          <w:numId w:val="0"/>
        </w:numPr>
        <w:kinsoku/>
        <w:wordWrap/>
        <w:overflowPunct/>
        <w:topLinePunct w:val="0"/>
        <w:bidi w:val="0"/>
        <w:adjustRightInd w:val="0"/>
        <w:snapToGrid w:val="0"/>
        <w:spacing w:line="540" w:lineRule="exact"/>
        <w:ind w:firstLine="640" w:firstLineChars="200"/>
        <w:textAlignment w:val="auto"/>
        <w:rPr>
          <w:rFonts w:hint="eastAsia" w:ascii="仿宋_GB2312" w:hAnsi="Times New Roman" w:eastAsia="仿宋_GB2312"/>
          <w:color w:val="auto"/>
          <w:kern w:val="0"/>
          <w:sz w:val="32"/>
          <w:szCs w:val="32"/>
          <w:highlight w:val="none"/>
          <w:lang w:eastAsia="zh-CN"/>
        </w:rPr>
      </w:pPr>
      <w:r>
        <w:rPr>
          <w:rFonts w:hint="eastAsia" w:ascii="仿宋_GB2312" w:hAnsi="Times New Roman" w:eastAsia="仿宋_GB2312"/>
          <w:color w:val="auto"/>
          <w:kern w:val="0"/>
          <w:sz w:val="32"/>
          <w:szCs w:val="32"/>
          <w:highlight w:val="none"/>
        </w:rPr>
        <w:t>对标准内容进行调研、</w:t>
      </w:r>
      <w:r>
        <w:rPr>
          <w:rFonts w:hint="eastAsia" w:ascii="仿宋_GB2312" w:hAnsi="Times New Roman" w:eastAsia="仿宋_GB2312"/>
          <w:color w:val="auto"/>
          <w:kern w:val="0"/>
          <w:sz w:val="32"/>
          <w:szCs w:val="32"/>
          <w:highlight w:val="none"/>
          <w:lang w:val="en-US" w:eastAsia="zh-CN"/>
        </w:rPr>
        <w:t>论证</w:t>
      </w:r>
      <w:r>
        <w:rPr>
          <w:rFonts w:hint="eastAsia" w:ascii="仿宋_GB2312" w:hAnsi="Times New Roman" w:eastAsia="仿宋_GB2312"/>
          <w:color w:val="auto"/>
          <w:kern w:val="0"/>
          <w:sz w:val="32"/>
          <w:szCs w:val="32"/>
          <w:highlight w:val="none"/>
        </w:rPr>
        <w:t>，收集相关</w:t>
      </w:r>
      <w:r>
        <w:rPr>
          <w:rFonts w:hint="eastAsia" w:ascii="仿宋_GB2312" w:hAnsi="Times New Roman" w:eastAsia="仿宋_GB2312"/>
          <w:color w:val="auto"/>
          <w:kern w:val="0"/>
          <w:sz w:val="32"/>
          <w:szCs w:val="32"/>
          <w:highlight w:val="none"/>
          <w:lang w:val="en-US" w:eastAsia="zh-CN"/>
        </w:rPr>
        <w:t>文献</w:t>
      </w:r>
      <w:r>
        <w:rPr>
          <w:rFonts w:hint="eastAsia" w:ascii="仿宋_GB2312" w:hAnsi="Times New Roman" w:eastAsia="仿宋_GB2312"/>
          <w:color w:val="auto"/>
          <w:kern w:val="0"/>
          <w:sz w:val="32"/>
          <w:szCs w:val="32"/>
          <w:highlight w:val="none"/>
        </w:rPr>
        <w:t>资料，完成前期调研和资料收集工作；召开标准起草研讨会，</w:t>
      </w:r>
      <w:r>
        <w:rPr>
          <w:rFonts w:hint="eastAsia" w:ascii="仿宋_GB2312" w:hAnsi="Times New Roman" w:eastAsia="仿宋_GB2312"/>
          <w:color w:val="auto"/>
          <w:kern w:val="0"/>
          <w:sz w:val="32"/>
          <w:szCs w:val="32"/>
          <w:highlight w:val="none"/>
          <w:lang w:val="en-US" w:eastAsia="zh-CN"/>
        </w:rPr>
        <w:t>对标准科学性、可操作性进行论证，</w:t>
      </w:r>
      <w:r>
        <w:rPr>
          <w:rFonts w:hint="eastAsia" w:ascii="仿宋_GB2312" w:hAnsi="Times New Roman" w:eastAsia="仿宋_GB2312"/>
          <w:color w:val="auto"/>
          <w:kern w:val="0"/>
          <w:sz w:val="32"/>
          <w:szCs w:val="32"/>
          <w:highlight w:val="none"/>
        </w:rPr>
        <w:t>对前期调研收集的资料进行筛选，确定标准起草的主要内容</w:t>
      </w:r>
      <w:r>
        <w:rPr>
          <w:rFonts w:hint="eastAsia" w:ascii="仿宋_GB2312" w:hAnsi="Times New Roman" w:eastAsia="仿宋_GB2312"/>
          <w:color w:val="auto"/>
          <w:kern w:val="0"/>
          <w:sz w:val="32"/>
          <w:szCs w:val="32"/>
          <w:highlight w:val="none"/>
          <w:lang w:eastAsia="zh-CN"/>
        </w:rPr>
        <w:t>。</w:t>
      </w:r>
    </w:p>
    <w:p w14:paraId="3A1499E1">
      <w:pPr>
        <w:keepNext w:val="0"/>
        <w:keepLines w:val="0"/>
        <w:pageBreakBefore w:val="0"/>
        <w:kinsoku/>
        <w:wordWrap/>
        <w:overflowPunct/>
        <w:topLinePunct w:val="0"/>
        <w:bidi w:val="0"/>
        <w:adjustRightInd w:val="0"/>
        <w:snapToGrid w:val="0"/>
        <w:spacing w:line="540" w:lineRule="exact"/>
        <w:ind w:firstLine="640" w:firstLineChars="200"/>
        <w:textAlignment w:val="auto"/>
        <w:rPr>
          <w:rFonts w:hint="eastAsia" w:ascii="仿宋_GB2312" w:hAnsi="仿宋_GB2312" w:eastAsia="仿宋_GB2312" w:cs="宋体"/>
          <w:color w:val="auto"/>
          <w:sz w:val="32"/>
          <w:szCs w:val="32"/>
          <w:highlight w:val="none"/>
          <w:lang w:val="en-US" w:eastAsia="zh-CN"/>
        </w:rPr>
      </w:pPr>
      <w:r>
        <w:rPr>
          <w:rFonts w:hint="default" w:ascii="仿宋_GB2312" w:hAnsi="仿宋_GB2312" w:eastAsia="仿宋_GB2312" w:cs="宋体"/>
          <w:color w:val="auto"/>
          <w:sz w:val="32"/>
          <w:szCs w:val="32"/>
          <w:highlight w:val="none"/>
        </w:rPr>
        <w:t>（</w:t>
      </w:r>
      <w:r>
        <w:rPr>
          <w:rFonts w:hint="eastAsia" w:ascii="仿宋_GB2312" w:hAnsi="仿宋_GB2312" w:eastAsia="仿宋_GB2312" w:cs="宋体"/>
          <w:color w:val="auto"/>
          <w:sz w:val="32"/>
          <w:szCs w:val="32"/>
          <w:highlight w:val="none"/>
          <w:lang w:val="en-US" w:eastAsia="zh-CN"/>
        </w:rPr>
        <w:t>3</w:t>
      </w:r>
      <w:r>
        <w:rPr>
          <w:rFonts w:hint="default" w:ascii="仿宋_GB2312" w:hAnsi="仿宋_GB2312" w:eastAsia="仿宋_GB2312" w:cs="宋体"/>
          <w:color w:val="auto"/>
          <w:sz w:val="32"/>
          <w:szCs w:val="32"/>
          <w:highlight w:val="none"/>
        </w:rPr>
        <w:t>）</w:t>
      </w:r>
      <w:r>
        <w:rPr>
          <w:rFonts w:hint="eastAsia" w:ascii="仿宋_GB2312" w:hAnsi="仿宋_GB2312" w:eastAsia="仿宋_GB2312" w:cs="宋体"/>
          <w:color w:val="auto"/>
          <w:sz w:val="32"/>
          <w:szCs w:val="32"/>
          <w:highlight w:val="none"/>
          <w:lang w:val="en-US" w:eastAsia="zh-CN"/>
        </w:rPr>
        <w:t>标准编写与立项</w:t>
      </w:r>
    </w:p>
    <w:p w14:paraId="600E018F">
      <w:pPr>
        <w:keepNext w:val="0"/>
        <w:keepLines w:val="0"/>
        <w:pageBreakBefore w:val="0"/>
        <w:numPr>
          <w:ilvl w:val="0"/>
          <w:numId w:val="0"/>
        </w:numPr>
        <w:kinsoku/>
        <w:wordWrap/>
        <w:overflowPunct/>
        <w:topLinePunct w:val="0"/>
        <w:bidi w:val="0"/>
        <w:adjustRightInd w:val="0"/>
        <w:snapToGrid w:val="0"/>
        <w:spacing w:line="540" w:lineRule="exact"/>
        <w:ind w:firstLine="640" w:firstLineChars="200"/>
        <w:textAlignment w:val="auto"/>
        <w:rPr>
          <w:rFonts w:hint="eastAsia" w:ascii="仿宋_GB2312" w:hAnsi="Times New Roman" w:eastAsia="仿宋_GB2312"/>
          <w:color w:val="auto"/>
          <w:kern w:val="0"/>
          <w:sz w:val="32"/>
          <w:szCs w:val="32"/>
          <w:highlight w:val="none"/>
          <w:lang w:eastAsia="zh-CN"/>
        </w:rPr>
      </w:pPr>
      <w:r>
        <w:rPr>
          <w:rFonts w:hint="eastAsia" w:ascii="仿宋_GB2312" w:hAnsi="Times New Roman" w:eastAsia="仿宋_GB2312"/>
          <w:color w:val="auto"/>
          <w:kern w:val="0"/>
          <w:sz w:val="32"/>
          <w:szCs w:val="32"/>
          <w:highlight w:val="none"/>
          <w:lang w:eastAsia="zh-CN"/>
        </w:rPr>
        <w:t>标准起草小组通过查阅相关的法律法规、文件资料，根据标准化相关规范性文件，完成标准草案和项目建议书。由省市场监督管理局审核后申请立项，顺利通过立项评估会，并于2023年</w:t>
      </w:r>
      <w:r>
        <w:rPr>
          <w:rFonts w:hint="eastAsia" w:ascii="仿宋_GB2312" w:hAnsi="Times New Roman" w:eastAsia="仿宋_GB2312"/>
          <w:color w:val="auto"/>
          <w:kern w:val="0"/>
          <w:sz w:val="32"/>
          <w:szCs w:val="32"/>
          <w:highlight w:val="none"/>
          <w:lang w:val="en-US" w:eastAsia="zh-CN"/>
        </w:rPr>
        <w:t>8</w:t>
      </w:r>
      <w:r>
        <w:rPr>
          <w:rFonts w:hint="eastAsia" w:ascii="仿宋_GB2312" w:hAnsi="Times New Roman" w:eastAsia="仿宋_GB2312"/>
          <w:color w:val="auto"/>
          <w:kern w:val="0"/>
          <w:sz w:val="32"/>
          <w:szCs w:val="32"/>
          <w:highlight w:val="none"/>
          <w:lang w:eastAsia="zh-CN"/>
        </w:rPr>
        <w:t>月由省市场监督管理局下达立项计划。</w:t>
      </w:r>
    </w:p>
    <w:p w14:paraId="358CDCD7">
      <w:pPr>
        <w:keepNext w:val="0"/>
        <w:keepLines w:val="0"/>
        <w:pageBreakBefore w:val="0"/>
        <w:kinsoku/>
        <w:wordWrap/>
        <w:overflowPunct/>
        <w:topLinePunct w:val="0"/>
        <w:bidi w:val="0"/>
        <w:adjustRightInd w:val="0"/>
        <w:snapToGrid w:val="0"/>
        <w:spacing w:line="540" w:lineRule="exact"/>
        <w:ind w:firstLine="640" w:firstLineChars="200"/>
        <w:textAlignment w:val="auto"/>
        <w:rPr>
          <w:rFonts w:hint="eastAsia" w:ascii="仿宋_GB2312" w:hAnsi="仿宋_GB2312" w:eastAsia="仿宋_GB2312" w:cs="宋体"/>
          <w:color w:val="auto"/>
          <w:sz w:val="32"/>
          <w:szCs w:val="32"/>
          <w:highlight w:val="none"/>
          <w:lang w:val="en-US" w:eastAsia="zh-CN"/>
        </w:rPr>
      </w:pPr>
      <w:r>
        <w:rPr>
          <w:rFonts w:hint="default" w:ascii="仿宋_GB2312" w:hAnsi="仿宋_GB2312" w:eastAsia="仿宋_GB2312" w:cs="宋体"/>
          <w:color w:val="auto"/>
          <w:sz w:val="32"/>
          <w:szCs w:val="32"/>
          <w:highlight w:val="none"/>
        </w:rPr>
        <w:t>（</w:t>
      </w:r>
      <w:r>
        <w:rPr>
          <w:rFonts w:hint="eastAsia" w:ascii="仿宋_GB2312" w:hAnsi="仿宋_GB2312" w:eastAsia="仿宋_GB2312" w:cs="宋体"/>
          <w:color w:val="auto"/>
          <w:sz w:val="32"/>
          <w:szCs w:val="32"/>
          <w:highlight w:val="none"/>
          <w:lang w:val="en-US" w:eastAsia="zh-CN"/>
        </w:rPr>
        <w:t>4</w:t>
      </w:r>
      <w:r>
        <w:rPr>
          <w:rFonts w:hint="default" w:ascii="仿宋_GB2312" w:hAnsi="仿宋_GB2312" w:eastAsia="仿宋_GB2312" w:cs="宋体"/>
          <w:color w:val="auto"/>
          <w:sz w:val="32"/>
          <w:szCs w:val="32"/>
          <w:highlight w:val="none"/>
        </w:rPr>
        <w:t>）</w:t>
      </w:r>
      <w:r>
        <w:rPr>
          <w:rFonts w:hint="eastAsia" w:ascii="仿宋_GB2312" w:hAnsi="仿宋_GB2312" w:eastAsia="仿宋_GB2312" w:cs="宋体"/>
          <w:color w:val="auto"/>
          <w:sz w:val="32"/>
          <w:szCs w:val="32"/>
          <w:highlight w:val="none"/>
          <w:lang w:val="en-US" w:eastAsia="zh-CN"/>
        </w:rPr>
        <w:t>标准研讨及完善</w:t>
      </w:r>
    </w:p>
    <w:p w14:paraId="513AB896">
      <w:pPr>
        <w:pStyle w:val="2"/>
        <w:keepNext w:val="0"/>
        <w:keepLines w:val="0"/>
        <w:pageBreakBefore w:val="0"/>
        <w:numPr>
          <w:ilvl w:val="0"/>
          <w:numId w:val="0"/>
        </w:numPr>
        <w:kinsoku/>
        <w:wordWrap/>
        <w:overflowPunct/>
        <w:topLinePunct w:val="0"/>
        <w:bidi w:val="0"/>
        <w:adjustRightInd w:val="0"/>
        <w:snapToGrid w:val="0"/>
        <w:spacing w:line="540" w:lineRule="exact"/>
        <w:ind w:firstLine="640" w:firstLineChars="200"/>
        <w:textAlignment w:val="auto"/>
        <w:rPr>
          <w:rFonts w:hint="eastAsia"/>
          <w:color w:val="auto"/>
          <w:highlight w:val="none"/>
          <w:lang w:eastAsia="zh-CN"/>
        </w:rPr>
      </w:pPr>
      <w:r>
        <w:rPr>
          <w:rFonts w:hint="eastAsia" w:ascii="仿宋_GB2312" w:hAnsi="Times New Roman" w:eastAsia="仿宋_GB2312" w:cs="Times New Roman"/>
          <w:color w:val="auto"/>
          <w:kern w:val="0"/>
          <w:sz w:val="32"/>
          <w:szCs w:val="32"/>
          <w:highlight w:val="none"/>
          <w:lang w:val="en-US" w:eastAsia="zh-CN" w:bidi="ar-SA"/>
        </w:rPr>
        <w:t>为进一步完善标准内容，</w:t>
      </w:r>
      <w:r>
        <w:rPr>
          <w:rFonts w:hint="eastAsia" w:ascii="仿宋_GB2312" w:hAnsi="Times New Roman" w:eastAsia="仿宋_GB2312"/>
          <w:color w:val="auto"/>
          <w:kern w:val="0"/>
          <w:sz w:val="32"/>
          <w:szCs w:val="32"/>
          <w:highlight w:val="none"/>
          <w:lang w:eastAsia="zh-CN"/>
        </w:rPr>
        <w:t>标准起草小组</w:t>
      </w:r>
      <w:r>
        <w:rPr>
          <w:rFonts w:hint="eastAsia" w:ascii="仿宋_GB2312" w:hAnsi="Times New Roman" w:eastAsia="仿宋_GB2312" w:cs="Times New Roman"/>
          <w:color w:val="auto"/>
          <w:kern w:val="0"/>
          <w:sz w:val="32"/>
          <w:szCs w:val="32"/>
          <w:highlight w:val="none"/>
          <w:lang w:val="en-US" w:eastAsia="zh-CN" w:bidi="ar-SA"/>
        </w:rPr>
        <w:t>多次组织召开研讨会，征询起草小组内部成员、科研院所、获证企业、各级</w:t>
      </w:r>
      <w:r>
        <w:rPr>
          <w:rFonts w:hint="eastAsia" w:ascii="仿宋_GB2312" w:hAnsi="Times New Roman" w:eastAsia="仿宋_GB2312" w:cs="Times New Roman"/>
          <w:color w:val="000000"/>
          <w:kern w:val="2"/>
          <w:sz w:val="32"/>
          <w:szCs w:val="32"/>
          <w:lang w:val="en-US" w:eastAsia="zh-CN" w:bidi="ar-SA"/>
        </w:rPr>
        <w:t>监管部门及相关技术机构</w:t>
      </w:r>
      <w:r>
        <w:rPr>
          <w:rFonts w:hint="eastAsia" w:ascii="仿宋_GB2312" w:hAnsi="Times New Roman" w:eastAsia="仿宋_GB2312" w:cs="Times New Roman"/>
          <w:color w:val="auto"/>
          <w:kern w:val="0"/>
          <w:sz w:val="32"/>
          <w:szCs w:val="32"/>
          <w:highlight w:val="none"/>
          <w:lang w:val="en-US" w:eastAsia="zh-CN" w:bidi="ar-SA"/>
        </w:rPr>
        <w:t>人员的意见。不断完善标准内容，初步形成征求意见稿。</w:t>
      </w:r>
    </w:p>
    <w:p w14:paraId="7565B0F9">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五、</w:t>
      </w:r>
      <w:bookmarkStart w:id="0" w:name="_GoBack"/>
      <w:bookmarkEnd w:id="0"/>
      <w:r>
        <w:rPr>
          <w:rFonts w:hint="eastAsia" w:ascii="黑体" w:hAnsi="黑体" w:eastAsia="黑体" w:cs="黑体"/>
          <w:b w:val="0"/>
          <w:bCs/>
          <w:color w:val="auto"/>
          <w:kern w:val="0"/>
          <w:sz w:val="32"/>
          <w:szCs w:val="32"/>
          <w:highlight w:val="none"/>
        </w:rPr>
        <w:t>标准主要条款编制说明</w:t>
      </w:r>
    </w:p>
    <w:p w14:paraId="77ED9D6E">
      <w:pPr>
        <w:keepNext w:val="0"/>
        <w:keepLines w:val="0"/>
        <w:pageBreakBefore w:val="0"/>
        <w:widowControl/>
        <w:kinsoku/>
        <w:wordWrap/>
        <w:overflowPunct/>
        <w:topLinePunct w:val="0"/>
        <w:autoSpaceDE/>
        <w:autoSpaceDN/>
        <w:bidi w:val="0"/>
        <w:adjustRightInd w:val="0"/>
        <w:snapToGrid w:val="0"/>
        <w:spacing w:line="540" w:lineRule="exact"/>
        <w:ind w:left="0" w:leftChars="0" w:firstLine="640" w:firstLineChars="200"/>
        <w:textAlignment w:val="auto"/>
        <w:outlineLvl w:val="0"/>
        <w:rPr>
          <w:rFonts w:hint="eastAsia" w:ascii="仿宋_GB2312" w:hAnsi="Times New Roman" w:eastAsia="仿宋_GB2312" w:cs="Times New Roman"/>
          <w:color w:val="auto"/>
          <w:kern w:val="0"/>
          <w:sz w:val="32"/>
          <w:szCs w:val="32"/>
          <w:highlight w:val="none"/>
          <w:lang w:val="en-US" w:eastAsia="zh-CN" w:bidi="ar-SA"/>
        </w:rPr>
      </w:pPr>
      <w:r>
        <w:rPr>
          <w:rFonts w:hint="eastAsia" w:ascii="仿宋_GB2312" w:hAnsi="Times New Roman" w:eastAsia="仿宋_GB2312" w:cs="Times New Roman"/>
          <w:color w:val="auto"/>
          <w:kern w:val="0"/>
          <w:sz w:val="32"/>
          <w:szCs w:val="32"/>
          <w:highlight w:val="none"/>
          <w:lang w:val="en-US" w:eastAsia="zh-CN" w:bidi="ar-SA"/>
        </w:rPr>
        <w:t>（一）标准适用范围</w:t>
      </w:r>
    </w:p>
    <w:p w14:paraId="35029A9C">
      <w:pPr>
        <w:pStyle w:val="12"/>
        <w:keepNext w:val="0"/>
        <w:keepLines w:val="0"/>
        <w:pageBreakBefore w:val="0"/>
        <w:widowControl/>
        <w:kinsoku/>
        <w:wordWrap/>
        <w:overflowPunct/>
        <w:topLinePunct w:val="0"/>
        <w:autoSpaceDE w:val="0"/>
        <w:autoSpaceDN w:val="0"/>
        <w:bidi w:val="0"/>
        <w:adjustRightInd w:val="0"/>
        <w:snapToGrid w:val="0"/>
        <w:spacing w:line="540" w:lineRule="exact"/>
        <w:ind w:left="0" w:leftChars="0" w:firstLine="640" w:firstLineChars="200"/>
        <w:textAlignment w:val="auto"/>
        <w:rPr>
          <w:rFonts w:hint="eastAsia" w:ascii="仿宋_GB2312" w:hAnsi="Times New Roman" w:eastAsia="仿宋_GB2312" w:cs="Times New Roman"/>
          <w:color w:val="auto"/>
          <w:kern w:val="0"/>
          <w:sz w:val="32"/>
          <w:szCs w:val="32"/>
          <w:highlight w:val="none"/>
          <w:lang w:val="en-US" w:eastAsia="zh-CN" w:bidi="ar-SA"/>
        </w:rPr>
      </w:pPr>
      <w:r>
        <w:rPr>
          <w:rFonts w:hint="eastAsia" w:ascii="仿宋_GB2312" w:hAnsi="Times New Roman" w:eastAsia="仿宋_GB2312" w:cs="Times New Roman"/>
          <w:color w:val="auto"/>
          <w:kern w:val="0"/>
          <w:sz w:val="32"/>
          <w:szCs w:val="32"/>
          <w:highlight w:val="none"/>
          <w:lang w:val="en-US" w:eastAsia="zh-CN" w:bidi="ar-SA"/>
        </w:rPr>
        <w:t>本文件规定了</w:t>
      </w:r>
      <w:r>
        <w:rPr>
          <w:rFonts w:hint="eastAsia" w:ascii="仿宋_GB2312" w:hAnsi="Times New Roman" w:eastAsia="仿宋_GB2312"/>
          <w:color w:val="auto"/>
          <w:kern w:val="0"/>
          <w:sz w:val="32"/>
          <w:szCs w:val="32"/>
          <w:highlight w:val="none"/>
        </w:rPr>
        <w:t>食品相关产品生产企业</w:t>
      </w:r>
      <w:r>
        <w:rPr>
          <w:rFonts w:hint="eastAsia" w:ascii="仿宋_GB2312" w:eastAsia="仿宋_GB2312"/>
          <w:color w:val="auto"/>
          <w:kern w:val="0"/>
          <w:sz w:val="32"/>
          <w:szCs w:val="32"/>
          <w:highlight w:val="none"/>
          <w:lang w:val="en-US" w:eastAsia="zh-CN"/>
        </w:rPr>
        <w:t>开展</w:t>
      </w:r>
      <w:r>
        <w:rPr>
          <w:rFonts w:hint="eastAsia" w:ascii="仿宋_GB2312" w:hAnsi="Times New Roman" w:eastAsia="仿宋_GB2312"/>
          <w:color w:val="auto"/>
          <w:kern w:val="0"/>
          <w:sz w:val="32"/>
          <w:szCs w:val="32"/>
          <w:highlight w:val="none"/>
        </w:rPr>
        <w:t>质量提升</w:t>
      </w:r>
      <w:r>
        <w:rPr>
          <w:rFonts w:hint="eastAsia" w:ascii="仿宋_GB2312" w:hAnsi="Times New Roman" w:eastAsia="仿宋_GB2312" w:cs="Times New Roman"/>
          <w:color w:val="auto"/>
          <w:kern w:val="0"/>
          <w:sz w:val="32"/>
          <w:szCs w:val="32"/>
          <w:highlight w:val="none"/>
          <w:lang w:val="en-US" w:eastAsia="zh-CN" w:bidi="ar-SA"/>
        </w:rPr>
        <w:t>工作中</w:t>
      </w:r>
      <w:r>
        <w:rPr>
          <w:rFonts w:hint="eastAsia" w:ascii="仿宋_GB2312" w:eastAsia="仿宋_GB2312" w:cs="Times New Roman"/>
          <w:color w:val="auto"/>
          <w:kern w:val="0"/>
          <w:sz w:val="32"/>
          <w:szCs w:val="32"/>
          <w:highlight w:val="none"/>
          <w:lang w:val="en-US" w:eastAsia="zh-CN" w:bidi="ar-SA"/>
        </w:rPr>
        <w:t>的基本要素和技术要求。</w:t>
      </w:r>
    </w:p>
    <w:p w14:paraId="340CCBCB">
      <w:pPr>
        <w:keepNext w:val="0"/>
        <w:keepLines w:val="0"/>
        <w:pageBreakBefore w:val="0"/>
        <w:widowControl/>
        <w:kinsoku/>
        <w:wordWrap/>
        <w:overflowPunct/>
        <w:topLinePunct w:val="0"/>
        <w:autoSpaceDE/>
        <w:autoSpaceDN/>
        <w:bidi w:val="0"/>
        <w:adjustRightInd w:val="0"/>
        <w:snapToGrid w:val="0"/>
        <w:spacing w:line="540" w:lineRule="exact"/>
        <w:ind w:left="0" w:leftChars="0" w:firstLine="640" w:firstLineChars="200"/>
        <w:textAlignment w:val="auto"/>
        <w:outlineLvl w:val="0"/>
        <w:rPr>
          <w:rFonts w:hint="eastAsia" w:ascii="仿宋_GB2312" w:hAnsi="Times New Roman" w:eastAsia="仿宋_GB2312" w:cs="Times New Roman"/>
          <w:color w:val="auto"/>
          <w:kern w:val="0"/>
          <w:sz w:val="32"/>
          <w:szCs w:val="32"/>
          <w:highlight w:val="none"/>
          <w:lang w:val="en-US" w:eastAsia="zh-CN" w:bidi="ar-SA"/>
        </w:rPr>
      </w:pPr>
      <w:r>
        <w:rPr>
          <w:rFonts w:hint="eastAsia" w:ascii="仿宋_GB2312" w:hAnsi="Times New Roman" w:eastAsia="仿宋_GB2312" w:cs="Times New Roman"/>
          <w:color w:val="auto"/>
          <w:kern w:val="0"/>
          <w:sz w:val="32"/>
          <w:szCs w:val="32"/>
          <w:highlight w:val="none"/>
          <w:lang w:val="en-US" w:eastAsia="zh-CN" w:bidi="ar-SA"/>
        </w:rPr>
        <w:t>本文件适用于</w:t>
      </w:r>
      <w:r>
        <w:rPr>
          <w:rFonts w:hint="eastAsia" w:ascii="仿宋_GB2312" w:hAnsi="仿宋_GB2312" w:eastAsia="仿宋_GB2312" w:cs="宋体"/>
          <w:color w:val="auto"/>
          <w:sz w:val="32"/>
          <w:szCs w:val="32"/>
          <w:highlight w:val="none"/>
          <w:lang w:eastAsia="zh-CN"/>
        </w:rPr>
        <w:t>食品相关产品生产企业</w:t>
      </w:r>
      <w:r>
        <w:rPr>
          <w:rFonts w:hint="eastAsia" w:ascii="仿宋_GB2312" w:hAnsi="仿宋_GB2312" w:eastAsia="仿宋_GB2312" w:cs="宋体"/>
          <w:color w:val="auto"/>
          <w:sz w:val="32"/>
          <w:szCs w:val="32"/>
          <w:highlight w:val="none"/>
          <w:lang w:val="en-US" w:eastAsia="zh-CN"/>
        </w:rPr>
        <w:t>开展</w:t>
      </w:r>
      <w:r>
        <w:rPr>
          <w:rFonts w:hint="eastAsia" w:ascii="仿宋_GB2312" w:hAnsi="仿宋_GB2312" w:eastAsia="仿宋_GB2312" w:cs="宋体"/>
          <w:color w:val="auto"/>
          <w:sz w:val="32"/>
          <w:szCs w:val="32"/>
          <w:highlight w:val="none"/>
          <w:lang w:eastAsia="zh-CN"/>
        </w:rPr>
        <w:t>质量提升</w:t>
      </w:r>
      <w:r>
        <w:rPr>
          <w:rFonts w:hint="eastAsia" w:ascii="仿宋_GB2312" w:hAnsi="Times New Roman" w:eastAsia="仿宋_GB2312" w:cs="Times New Roman"/>
          <w:color w:val="auto"/>
          <w:kern w:val="0"/>
          <w:sz w:val="32"/>
          <w:szCs w:val="32"/>
          <w:highlight w:val="none"/>
          <w:lang w:val="en-US" w:eastAsia="zh-CN" w:bidi="ar-SA"/>
        </w:rPr>
        <w:t>工作。</w:t>
      </w:r>
    </w:p>
    <w:p w14:paraId="6C538B03">
      <w:pPr>
        <w:keepNext w:val="0"/>
        <w:keepLines w:val="0"/>
        <w:pageBreakBefore w:val="0"/>
        <w:widowControl/>
        <w:kinsoku/>
        <w:wordWrap/>
        <w:overflowPunct/>
        <w:topLinePunct w:val="0"/>
        <w:autoSpaceDE/>
        <w:autoSpaceDN/>
        <w:bidi w:val="0"/>
        <w:adjustRightInd w:val="0"/>
        <w:snapToGrid w:val="0"/>
        <w:spacing w:line="540" w:lineRule="exact"/>
        <w:ind w:left="0" w:leftChars="0" w:firstLine="640" w:firstLineChars="200"/>
        <w:textAlignment w:val="auto"/>
        <w:outlineLvl w:val="0"/>
        <w:rPr>
          <w:rFonts w:hint="eastAsia" w:ascii="仿宋_GB2312" w:hAnsi="Times New Roman" w:eastAsia="仿宋_GB2312" w:cs="Times New Roman"/>
          <w:color w:val="auto"/>
          <w:kern w:val="0"/>
          <w:sz w:val="32"/>
          <w:szCs w:val="32"/>
          <w:highlight w:val="none"/>
          <w:lang w:val="en-US" w:eastAsia="zh-CN" w:bidi="ar-SA"/>
        </w:rPr>
      </w:pPr>
      <w:r>
        <w:rPr>
          <w:rFonts w:hint="eastAsia" w:ascii="仿宋_GB2312" w:hAnsi="Times New Roman" w:eastAsia="仿宋_GB2312" w:cs="Times New Roman"/>
          <w:color w:val="auto"/>
          <w:kern w:val="0"/>
          <w:sz w:val="32"/>
          <w:szCs w:val="32"/>
          <w:highlight w:val="none"/>
          <w:lang w:val="en-US" w:eastAsia="zh-CN" w:bidi="ar-SA"/>
        </w:rPr>
        <w:t>（二）规范性引用文件</w:t>
      </w:r>
    </w:p>
    <w:p w14:paraId="4DE39E86">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本标准在编制过程中的主要依据：</w:t>
      </w:r>
    </w:p>
    <w:p w14:paraId="0864C628">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中华人民共和国工业产品生产许可证管理条例实施办法（国家质检总局令第156号）</w:t>
      </w:r>
    </w:p>
    <w:p w14:paraId="0CD73DBF">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Times New Roman" w:eastAsia="仿宋_GB2312"/>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工业产品生产单位落实质量安全主体责任监督管理规定（国家市场监督管理总局令第75号）</w:t>
      </w:r>
    </w:p>
    <w:p w14:paraId="2BD51741">
      <w:pPr>
        <w:pStyle w:val="2"/>
        <w:rPr>
          <w:rFonts w:hint="eastAsia" w:ascii="仿宋_GB2312" w:hAnsi="Times New Roman" w:eastAsia="仿宋_GB2312" w:cs="Times New Roman"/>
          <w:color w:val="auto"/>
          <w:kern w:val="0"/>
          <w:sz w:val="32"/>
          <w:szCs w:val="32"/>
          <w:highlight w:val="none"/>
          <w:lang w:val="en-US" w:eastAsia="zh-CN" w:bidi="ar-SA"/>
        </w:rPr>
      </w:pPr>
      <w:r>
        <w:rPr>
          <w:rFonts w:hint="eastAsia" w:ascii="仿宋_GB2312" w:hAnsi="Times New Roman" w:eastAsia="仿宋_GB2312" w:cs="Times New Roman"/>
          <w:color w:val="auto"/>
          <w:kern w:val="0"/>
          <w:sz w:val="32"/>
          <w:szCs w:val="32"/>
          <w:highlight w:val="none"/>
          <w:lang w:val="en-US" w:eastAsia="zh-CN" w:bidi="ar-SA"/>
        </w:rPr>
        <w:t>食品相关产品质量安全监督管理暂行办法</w:t>
      </w:r>
      <w:r>
        <w:rPr>
          <w:rFonts w:hint="eastAsia" w:ascii="仿宋_GB2312" w:hAnsi="Times New Roman" w:eastAsia="仿宋_GB2312"/>
          <w:color w:val="auto"/>
          <w:kern w:val="0"/>
          <w:sz w:val="32"/>
          <w:szCs w:val="32"/>
          <w:highlight w:val="none"/>
          <w:lang w:val="en-US" w:eastAsia="zh-CN"/>
        </w:rPr>
        <w:t>（国家市场监督管理总局令第62号）</w:t>
      </w:r>
    </w:p>
    <w:p w14:paraId="518D409B">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default" w:ascii="Times New Roman" w:hAnsi="Times New Roman" w:eastAsia="仿宋_GB2312" w:cs="Times New Roman"/>
          <w:color w:val="auto"/>
          <w:kern w:val="0"/>
          <w:sz w:val="32"/>
          <w:szCs w:val="32"/>
          <w:highlight w:val="none"/>
          <w:lang w:val="en-US" w:eastAsia="zh-CN"/>
        </w:rPr>
      </w:pPr>
      <w:r>
        <w:rPr>
          <w:rFonts w:hint="eastAsia" w:ascii="仿宋_GB2312" w:hAnsi="Times New Roman" w:eastAsia="仿宋_GB2312"/>
          <w:color w:val="auto"/>
          <w:kern w:val="0"/>
          <w:sz w:val="32"/>
          <w:szCs w:val="32"/>
          <w:highlight w:val="none"/>
          <w:lang w:val="en-US" w:eastAsia="zh-CN"/>
        </w:rPr>
        <w:t>工业产品生产许可证实施细则通则及</w:t>
      </w:r>
      <w:r>
        <w:rPr>
          <w:rFonts w:hint="default" w:ascii="Times New Roman" w:hAnsi="Times New Roman" w:eastAsia="仿宋_GB2312" w:cs="Times New Roman"/>
          <w:color w:val="auto"/>
          <w:kern w:val="0"/>
          <w:sz w:val="32"/>
          <w:szCs w:val="32"/>
          <w:highlight w:val="none"/>
          <w:lang w:val="en-US" w:eastAsia="zh-CN"/>
        </w:rPr>
        <w:t>GB 4806</w:t>
      </w:r>
      <w:r>
        <w:rPr>
          <w:rFonts w:hint="eastAsia" w:ascii="Times New Roman" w:hAnsi="Times New Roman" w:eastAsia="仿宋_GB2312" w:cs="Times New Roman"/>
          <w:color w:val="auto"/>
          <w:kern w:val="0"/>
          <w:sz w:val="32"/>
          <w:szCs w:val="32"/>
          <w:highlight w:val="none"/>
          <w:lang w:val="en-US" w:eastAsia="zh-CN"/>
        </w:rPr>
        <w:t>系列标准</w:t>
      </w:r>
    </w:p>
    <w:p w14:paraId="6059F9A1">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GB 31603-2015</w:t>
      </w:r>
      <w:r>
        <w:rPr>
          <w:rFonts w:hint="eastAsia" w:ascii="仿宋_GB2312" w:hAnsi="Times New Roman" w:eastAsia="仿宋_GB2312" w:cs="Times New Roman"/>
          <w:color w:val="auto"/>
          <w:kern w:val="0"/>
          <w:sz w:val="32"/>
          <w:szCs w:val="32"/>
          <w:highlight w:val="none"/>
          <w:lang w:val="en-US" w:eastAsia="zh-CN"/>
        </w:rPr>
        <w:t>《食品安全国家标准 食品接触材料及制品生产通用卫生规范》</w:t>
      </w:r>
    </w:p>
    <w:p w14:paraId="0BD8B0C6">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Times New Roman" w:eastAsia="仿宋_GB2312" w:cs="Times New Roman"/>
          <w:color w:val="auto"/>
          <w:kern w:val="0"/>
          <w:sz w:val="32"/>
          <w:szCs w:val="32"/>
          <w:highlight w:val="none"/>
          <w:lang w:val="en-US" w:eastAsia="zh-CN"/>
        </w:rPr>
      </w:pPr>
      <w:r>
        <w:rPr>
          <w:rFonts w:hint="eastAsia" w:ascii="Times New Roman" w:hAnsi="Times New Roman" w:eastAsia="仿宋_GB2312" w:cs="Times New Roman"/>
          <w:color w:val="auto"/>
          <w:kern w:val="0"/>
          <w:sz w:val="32"/>
          <w:szCs w:val="32"/>
          <w:highlight w:val="none"/>
          <w:lang w:val="en-US" w:eastAsia="zh-CN"/>
        </w:rPr>
        <w:t xml:space="preserve">GB 9685 </w:t>
      </w:r>
      <w:r>
        <w:rPr>
          <w:rFonts w:hint="eastAsia" w:ascii="仿宋_GB2312" w:hAnsi="Times New Roman" w:eastAsia="仿宋_GB2312" w:cs="Times New Roman"/>
          <w:color w:val="auto"/>
          <w:kern w:val="0"/>
          <w:sz w:val="32"/>
          <w:szCs w:val="32"/>
          <w:highlight w:val="none"/>
          <w:lang w:val="en-US" w:eastAsia="zh-CN"/>
        </w:rPr>
        <w:t>《食品安全国家标准 食品接触材料及制品用添加剂使用标准》</w:t>
      </w:r>
    </w:p>
    <w:p w14:paraId="3EA8FE06">
      <w:pPr>
        <w:pStyle w:val="2"/>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GB/T 15496 《企业标准体系要求》</w:t>
      </w:r>
    </w:p>
    <w:p w14:paraId="5A7C7A86">
      <w:pPr>
        <w:pStyle w:val="2"/>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GB/T 19001 《质量管理体系要求》</w:t>
      </w:r>
    </w:p>
    <w:p w14:paraId="75ECA057">
      <w:pPr>
        <w:pStyle w:val="2"/>
        <w:rPr>
          <w:rFonts w:hint="eastAsia" w:ascii="Times New Roman" w:hAnsi="Times New Roman" w:eastAsia="仿宋_GB2312" w:cs="Times New Roman"/>
          <w:color w:val="auto"/>
          <w:kern w:val="0"/>
          <w:sz w:val="32"/>
          <w:szCs w:val="32"/>
          <w:highlight w:val="none"/>
          <w:lang w:val="en-US" w:eastAsia="zh-CN" w:bidi="ar-SA"/>
        </w:rPr>
      </w:pPr>
      <w:r>
        <w:rPr>
          <w:rFonts w:hint="eastAsia" w:ascii="Times New Roman" w:hAnsi="Times New Roman" w:eastAsia="仿宋_GB2312" w:cs="Times New Roman"/>
          <w:color w:val="auto"/>
          <w:kern w:val="0"/>
          <w:sz w:val="32"/>
          <w:szCs w:val="32"/>
          <w:highlight w:val="none"/>
          <w:lang w:val="en-US" w:eastAsia="zh-CN" w:bidi="ar-SA"/>
        </w:rPr>
        <w:t>GB/T 31950-2023 《企业诚信管理体系》</w:t>
      </w:r>
    </w:p>
    <w:p w14:paraId="350386C0">
      <w:pPr>
        <w:keepNext w:val="0"/>
        <w:keepLines w:val="0"/>
        <w:pageBreakBefore w:val="0"/>
        <w:widowControl/>
        <w:kinsoku/>
        <w:wordWrap/>
        <w:overflowPunct/>
        <w:topLinePunct w:val="0"/>
        <w:autoSpaceDE/>
        <w:autoSpaceDN/>
        <w:bidi w:val="0"/>
        <w:adjustRightInd w:val="0"/>
        <w:snapToGrid w:val="0"/>
        <w:spacing w:line="540" w:lineRule="exact"/>
        <w:ind w:left="0" w:leftChars="0" w:firstLine="640" w:firstLineChars="200"/>
        <w:textAlignment w:val="auto"/>
        <w:outlineLvl w:val="0"/>
        <w:rPr>
          <w:rFonts w:hint="eastAsia" w:ascii="仿宋_GB2312" w:hAnsi="Times New Roman" w:eastAsia="仿宋_GB2312" w:cs="Times New Roman"/>
          <w:color w:val="auto"/>
          <w:kern w:val="0"/>
          <w:sz w:val="32"/>
          <w:szCs w:val="32"/>
          <w:highlight w:val="none"/>
          <w:lang w:val="en-US" w:eastAsia="zh-CN" w:bidi="ar-SA"/>
        </w:rPr>
      </w:pPr>
      <w:r>
        <w:rPr>
          <w:rFonts w:hint="eastAsia" w:ascii="仿宋_GB2312" w:hAnsi="Times New Roman" w:eastAsia="仿宋_GB2312" w:cs="Times New Roman"/>
          <w:color w:val="auto"/>
          <w:kern w:val="0"/>
          <w:sz w:val="32"/>
          <w:szCs w:val="32"/>
          <w:highlight w:val="none"/>
          <w:lang w:val="en-US" w:eastAsia="zh-CN" w:bidi="ar-SA"/>
        </w:rPr>
        <w:t>（三）标准制定原则</w:t>
      </w:r>
    </w:p>
    <w:p w14:paraId="1AE76A7A">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本标准的编制遵循“科学性、适用性、规范性、可操作性”等原则。起草小组在确保标准主要内容和技术条款先进性的前提下，按照</w:t>
      </w:r>
      <w:r>
        <w:rPr>
          <w:rFonts w:hint="eastAsia" w:ascii="Times New Roman" w:hAnsi="Times New Roman" w:eastAsia="仿宋_GB2312" w:cs="Times New Roman"/>
          <w:color w:val="auto"/>
          <w:kern w:val="0"/>
          <w:sz w:val="32"/>
          <w:szCs w:val="32"/>
          <w:highlight w:val="none"/>
          <w:lang w:val="en-US" w:eastAsia="zh-CN" w:bidi="ar-SA"/>
        </w:rPr>
        <w:t>GB/T 1.1-2020</w:t>
      </w:r>
      <w:r>
        <w:rPr>
          <w:rFonts w:hint="eastAsia" w:ascii="仿宋_GB2312" w:hAnsi="仿宋_GB2312" w:eastAsia="仿宋_GB2312" w:cs="仿宋_GB2312"/>
          <w:color w:val="auto"/>
          <w:sz w:val="32"/>
          <w:szCs w:val="32"/>
          <w:highlight w:val="none"/>
          <w:lang w:val="en-US" w:eastAsia="zh-CN"/>
        </w:rPr>
        <w:t>《标准化工作导则 第1部分：标准的结构和编写规则》的要求编写本项地方标准，力求各项指标科学合理，符合行业工作实际需求，并注重标准的可操作性。</w:t>
      </w:r>
    </w:p>
    <w:p w14:paraId="36E3B3E4">
      <w:pPr>
        <w:keepNext w:val="0"/>
        <w:keepLines w:val="0"/>
        <w:pageBreakBefore w:val="0"/>
        <w:widowControl/>
        <w:kinsoku/>
        <w:wordWrap/>
        <w:overflowPunct/>
        <w:topLinePunct w:val="0"/>
        <w:autoSpaceDE/>
        <w:autoSpaceDN/>
        <w:bidi w:val="0"/>
        <w:adjustRightInd w:val="0"/>
        <w:snapToGrid w:val="0"/>
        <w:spacing w:line="540" w:lineRule="exact"/>
        <w:ind w:left="0" w:leftChars="0" w:firstLine="640" w:firstLineChars="200"/>
        <w:textAlignment w:val="auto"/>
        <w:outlineLvl w:val="0"/>
        <w:rPr>
          <w:rFonts w:hint="eastAsia" w:ascii="仿宋_GB2312" w:hAnsi="Times New Roman" w:eastAsia="仿宋_GB2312" w:cs="Times New Roman"/>
          <w:color w:val="auto"/>
          <w:kern w:val="0"/>
          <w:sz w:val="32"/>
          <w:szCs w:val="32"/>
          <w:highlight w:val="none"/>
          <w:lang w:val="en-US" w:eastAsia="zh-CN" w:bidi="ar-SA"/>
        </w:rPr>
      </w:pPr>
      <w:r>
        <w:rPr>
          <w:rFonts w:hint="eastAsia" w:ascii="仿宋_GB2312" w:hAnsi="Times New Roman" w:eastAsia="仿宋_GB2312" w:cs="Times New Roman"/>
          <w:color w:val="auto"/>
          <w:kern w:val="0"/>
          <w:sz w:val="32"/>
          <w:szCs w:val="32"/>
          <w:highlight w:val="none"/>
          <w:lang w:val="en-US" w:eastAsia="zh-CN" w:bidi="ar-SA"/>
        </w:rPr>
        <w:t>（四）标准主要内容</w:t>
      </w:r>
    </w:p>
    <w:p w14:paraId="61180568">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1</w:t>
      </w:r>
      <w:r>
        <w:rPr>
          <w:rFonts w:hint="eastAsia" w:ascii="仿宋_GB2312" w:hAnsi="仿宋_GB2312" w:eastAsia="仿宋_GB2312" w:cs="仿宋_GB2312"/>
          <w:b w:val="0"/>
          <w:bCs/>
          <w:color w:val="auto"/>
          <w:sz w:val="32"/>
          <w:szCs w:val="32"/>
          <w:highlight w:val="none"/>
          <w:lang w:eastAsia="zh-CN"/>
        </w:rPr>
        <w:t>、</w:t>
      </w:r>
      <w:r>
        <w:rPr>
          <w:rFonts w:hint="eastAsia" w:ascii="仿宋_GB2312" w:hAnsi="仿宋_GB2312" w:eastAsia="仿宋_GB2312" w:cs="仿宋_GB2312"/>
          <w:b w:val="0"/>
          <w:bCs/>
          <w:color w:val="auto"/>
          <w:sz w:val="32"/>
          <w:szCs w:val="32"/>
          <w:highlight w:val="none"/>
        </w:rPr>
        <w:t>术语与定义</w:t>
      </w:r>
    </w:p>
    <w:p w14:paraId="170F61B7">
      <w:pPr>
        <w:keepNext w:val="0"/>
        <w:keepLines w:val="0"/>
        <w:pageBreakBefore w:val="0"/>
        <w:widowControl/>
        <w:kinsoku/>
        <w:wordWrap/>
        <w:overflowPunct/>
        <w:topLinePunct w:val="0"/>
        <w:autoSpaceDE/>
        <w:autoSpaceDN/>
        <w:bidi w:val="0"/>
        <w:adjustRightInd w:val="0"/>
        <w:snapToGrid w:val="0"/>
        <w:spacing w:line="560" w:lineRule="exact"/>
        <w:ind w:left="0" w:leftChars="0" w:firstLine="640" w:firstLineChars="200"/>
        <w:jc w:val="left"/>
        <w:textAlignment w:val="auto"/>
        <w:outlineLvl w:val="2"/>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本标准主要</w:t>
      </w:r>
      <w:r>
        <w:rPr>
          <w:rFonts w:hint="eastAsia" w:ascii="仿宋_GB2312" w:hAnsi="仿宋_GB2312" w:eastAsia="仿宋_GB2312" w:cs="仿宋_GB2312"/>
          <w:b w:val="0"/>
          <w:bCs/>
          <w:color w:val="auto"/>
          <w:sz w:val="32"/>
          <w:szCs w:val="32"/>
          <w:highlight w:val="none"/>
          <w:lang w:eastAsia="zh-CN"/>
        </w:rPr>
        <w:t>对</w:t>
      </w:r>
      <w:r>
        <w:rPr>
          <w:rFonts w:hint="eastAsia" w:ascii="仿宋_GB2312" w:hAnsi="Times New Roman" w:eastAsia="仿宋_GB2312"/>
          <w:color w:val="auto"/>
          <w:kern w:val="0"/>
          <w:sz w:val="32"/>
          <w:szCs w:val="32"/>
          <w:highlight w:val="none"/>
        </w:rPr>
        <w:t>食品相关产品生产企业开展质量提升工作</w:t>
      </w:r>
      <w:r>
        <w:rPr>
          <w:rFonts w:hint="eastAsia" w:ascii="仿宋_GB2312" w:hAnsi="仿宋_GB2312" w:eastAsia="仿宋_GB2312" w:cs="仿宋_GB2312"/>
          <w:b w:val="0"/>
          <w:bCs/>
          <w:color w:val="auto"/>
          <w:sz w:val="32"/>
          <w:szCs w:val="32"/>
          <w:highlight w:val="none"/>
          <w:lang w:val="en-US" w:eastAsia="zh-CN"/>
        </w:rPr>
        <w:t>相关术语</w:t>
      </w:r>
      <w:r>
        <w:rPr>
          <w:rFonts w:hint="eastAsia" w:ascii="仿宋_GB2312" w:hAnsi="仿宋_GB2312" w:eastAsia="仿宋_GB2312" w:cs="仿宋_GB2312"/>
          <w:b w:val="0"/>
          <w:bCs/>
          <w:color w:val="auto"/>
          <w:sz w:val="32"/>
          <w:szCs w:val="32"/>
          <w:highlight w:val="none"/>
        </w:rPr>
        <w:t>做出了解释说明。</w:t>
      </w:r>
      <w:r>
        <w:rPr>
          <w:rFonts w:hint="eastAsia" w:ascii="仿宋_GB2312" w:hAnsi="仿宋_GB2312" w:eastAsia="仿宋_GB2312" w:cs="仿宋_GB2312"/>
          <w:b w:val="0"/>
          <w:bCs/>
          <w:color w:val="000000"/>
          <w:sz w:val="32"/>
          <w:szCs w:val="32"/>
        </w:rPr>
        <w:t>详见标准文本第3</w:t>
      </w:r>
      <w:r>
        <w:rPr>
          <w:rFonts w:hint="eastAsia" w:ascii="仿宋_GB2312" w:hAnsi="仿宋_GB2312" w:eastAsia="仿宋_GB2312" w:cs="仿宋_GB2312"/>
          <w:b w:val="0"/>
          <w:bCs/>
          <w:color w:val="000000"/>
          <w:sz w:val="32"/>
          <w:szCs w:val="32"/>
          <w:lang w:val="en-US" w:eastAsia="zh-CN"/>
        </w:rPr>
        <w:t>部分</w:t>
      </w:r>
      <w:r>
        <w:rPr>
          <w:rFonts w:hint="eastAsia" w:ascii="仿宋_GB2312" w:hAnsi="仿宋_GB2312" w:eastAsia="仿宋_GB2312" w:cs="仿宋_GB2312"/>
          <w:b w:val="0"/>
          <w:bCs/>
          <w:color w:val="000000"/>
          <w:sz w:val="32"/>
          <w:szCs w:val="32"/>
        </w:rPr>
        <w:t>。</w:t>
      </w:r>
    </w:p>
    <w:p w14:paraId="417730B5">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2、通用要求</w:t>
      </w:r>
    </w:p>
    <w:p w14:paraId="7C0B658F">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Times New Roman" w:eastAsia="仿宋_GB2312"/>
          <w:color w:val="auto"/>
          <w:kern w:val="0"/>
          <w:sz w:val="32"/>
          <w:szCs w:val="32"/>
          <w:highlight w:val="none"/>
        </w:rPr>
        <w:t>食品相关产品生产企业</w:t>
      </w:r>
      <w:r>
        <w:rPr>
          <w:rFonts w:hint="eastAsia" w:ascii="仿宋_GB2312" w:hAnsi="仿宋_GB2312" w:eastAsia="仿宋_GB2312" w:cs="仿宋_GB2312"/>
          <w:b w:val="0"/>
          <w:bCs/>
          <w:color w:val="auto"/>
          <w:sz w:val="32"/>
          <w:szCs w:val="32"/>
          <w:highlight w:val="none"/>
          <w:lang w:val="en-US" w:eastAsia="zh-CN"/>
        </w:rPr>
        <w:t>应结合本文件，结合自身实际，建立、实施、保持和持续改进食品相关产品质量安全管理体系，将食品相关产品生产中的有关质量安全管理与控制的所有要求，系统地贯彻到食品相关产品的物料采购、加工、控制、检验及贮存、运输等生产全过程中。企业应诚信守法，自觉履行落实质量安全主体责任。</w:t>
      </w:r>
    </w:p>
    <w:p w14:paraId="15A37C66">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市场监督管理部门</w:t>
      </w:r>
      <w:r>
        <w:rPr>
          <w:rFonts w:hint="eastAsia" w:ascii="仿宋_GB2312" w:hAnsi="仿宋_GB2312" w:eastAsia="仿宋_GB2312" w:cs="仿宋_GB2312"/>
          <w:b w:val="0"/>
          <w:bCs/>
          <w:color w:val="auto"/>
          <w:sz w:val="32"/>
          <w:szCs w:val="32"/>
          <w:lang w:val="en-US" w:eastAsia="zh-CN"/>
        </w:rPr>
        <w:t>应提供必要的指导，与生产者定期沟通，对所发现问题及时督促生产者改进，对</w:t>
      </w:r>
      <w:r>
        <w:rPr>
          <w:rFonts w:hint="eastAsia" w:ascii="仿宋_GB2312" w:hAnsi="仿宋_GB2312" w:eastAsia="仿宋_GB2312" w:cs="仿宋_GB2312"/>
          <w:b w:val="0"/>
          <w:bCs/>
          <w:color w:val="auto"/>
          <w:sz w:val="32"/>
          <w:szCs w:val="32"/>
          <w:highlight w:val="none"/>
          <w:lang w:val="en-US" w:eastAsia="zh-CN"/>
        </w:rPr>
        <w:t>发生的违法行为，应依法依规予以处理。</w:t>
      </w:r>
    </w:p>
    <w:p w14:paraId="7CD59FDA">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3、主要内容</w:t>
      </w:r>
    </w:p>
    <w:p w14:paraId="4C54023D">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明确了食品相关产品生产企业质量提升的基本要素和技术要求，包括食品相关产品企业的质量安全管理体系、诚信管理体系、组织机构、基础设施与卫生管理、设备、人员、物料、生产过程产品安全控制、检验、追溯召回与投诉、不合格产品管理、文件和记录管理等内容。</w:t>
      </w:r>
    </w:p>
    <w:p w14:paraId="3D6591A5">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六、与有关的现行法律、法规和强制性标准的关系</w:t>
      </w:r>
    </w:p>
    <w:p w14:paraId="00D6E477">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Times New Roman" w:eastAsia="仿宋_GB2312"/>
          <w:color w:val="auto"/>
          <w:sz w:val="32"/>
          <w:szCs w:val="32"/>
          <w:highlight w:val="none"/>
        </w:rPr>
      </w:pPr>
      <w:r>
        <w:rPr>
          <w:rFonts w:hint="eastAsia" w:ascii="仿宋_GB2312" w:hAnsi="Times New Roman" w:eastAsia="仿宋_GB2312"/>
          <w:color w:val="auto"/>
          <w:sz w:val="32"/>
          <w:szCs w:val="32"/>
          <w:highlight w:val="none"/>
        </w:rPr>
        <w:t>本标准与有关的现行法律、法规和强制性标准不冲突。</w:t>
      </w:r>
    </w:p>
    <w:p w14:paraId="534184CB">
      <w:pPr>
        <w:keepNext w:val="0"/>
        <w:keepLines w:val="0"/>
        <w:pageBreakBefore w:val="0"/>
        <w:widowControl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七、</w:t>
      </w:r>
      <w:r>
        <w:rPr>
          <w:rFonts w:hint="eastAsia" w:ascii="黑体" w:hAnsi="黑体" w:eastAsia="黑体"/>
          <w:color w:val="auto"/>
          <w:sz w:val="32"/>
          <w:szCs w:val="32"/>
          <w:highlight w:val="none"/>
        </w:rPr>
        <w:t>重大意见分歧的处理依据和结果</w:t>
      </w:r>
    </w:p>
    <w:p w14:paraId="794AB0E6">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宋体"/>
          <w:color w:val="auto"/>
          <w:sz w:val="32"/>
          <w:szCs w:val="32"/>
          <w:highlight w:val="none"/>
        </w:rPr>
      </w:pPr>
      <w:r>
        <w:rPr>
          <w:rFonts w:hint="eastAsia" w:ascii="仿宋_GB2312" w:hAnsi="仿宋_GB2312" w:eastAsia="仿宋_GB2312" w:cs="宋体"/>
          <w:color w:val="auto"/>
          <w:sz w:val="32"/>
          <w:szCs w:val="32"/>
          <w:highlight w:val="none"/>
        </w:rPr>
        <w:t>本标准的制定过程中无重大意见分歧。</w:t>
      </w:r>
    </w:p>
    <w:p w14:paraId="755C71A7">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lang w:eastAsia="zh-CN"/>
        </w:rPr>
        <w:t>八</w:t>
      </w:r>
      <w:r>
        <w:rPr>
          <w:rFonts w:hint="eastAsia" w:ascii="黑体" w:hAnsi="黑体" w:eastAsia="黑体"/>
          <w:color w:val="auto"/>
          <w:sz w:val="32"/>
          <w:szCs w:val="32"/>
          <w:highlight w:val="none"/>
        </w:rPr>
        <w:t>、作为推荐性或强制性标准的建议及其理由</w:t>
      </w:r>
    </w:p>
    <w:p w14:paraId="34C2AFEF">
      <w:pPr>
        <w:keepNext w:val="0"/>
        <w:keepLines w:val="0"/>
        <w:pageBreakBefore w:val="0"/>
        <w:widowControl w:val="0"/>
        <w:kinsoku/>
        <w:wordWrap/>
        <w:overflowPunct/>
        <w:topLinePunct w:val="0"/>
        <w:autoSpaceDE/>
        <w:autoSpaceDN/>
        <w:bidi w:val="0"/>
        <w:adjustRightInd w:val="0"/>
        <w:snapToGrid w:val="0"/>
        <w:spacing w:line="540" w:lineRule="exact"/>
        <w:ind w:firstLine="640" w:firstLineChars="200"/>
        <w:textAlignment w:val="auto"/>
        <w:rPr>
          <w:rFonts w:hint="eastAsia" w:ascii="仿宋_GB2312" w:hAnsi="仿宋_GB2312" w:eastAsia="仿宋_GB2312" w:cs="宋体"/>
          <w:color w:val="auto"/>
          <w:sz w:val="32"/>
          <w:szCs w:val="32"/>
          <w:highlight w:val="none"/>
        </w:rPr>
      </w:pPr>
      <w:r>
        <w:rPr>
          <w:rFonts w:hint="eastAsia" w:ascii="仿宋_GB2312" w:hAnsi="仿宋_GB2312" w:eastAsia="仿宋_GB2312"/>
          <w:color w:val="auto"/>
          <w:sz w:val="32"/>
          <w:szCs w:val="32"/>
          <w:highlight w:val="none"/>
        </w:rPr>
        <w:t>建议作为推荐性标准发布实施。</w:t>
      </w:r>
    </w:p>
    <w:p w14:paraId="3F9E0072">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eastAsia="zh-CN"/>
        </w:rPr>
        <w:t>九</w:t>
      </w:r>
      <w:r>
        <w:rPr>
          <w:rFonts w:hint="eastAsia" w:ascii="黑体" w:hAnsi="黑体" w:eastAsia="黑体" w:cs="黑体"/>
          <w:b w:val="0"/>
          <w:bCs/>
          <w:color w:val="auto"/>
          <w:kern w:val="0"/>
          <w:sz w:val="32"/>
          <w:szCs w:val="32"/>
          <w:highlight w:val="none"/>
        </w:rPr>
        <w:t>、标准实施预期效益</w:t>
      </w:r>
    </w:p>
    <w:p w14:paraId="2722C092">
      <w:pPr>
        <w:pStyle w:val="12"/>
        <w:keepNext w:val="0"/>
        <w:keepLines w:val="0"/>
        <w:pageBreakBefore w:val="0"/>
        <w:kinsoku/>
        <w:wordWrap/>
        <w:overflowPunct/>
        <w:topLinePunct w:val="0"/>
        <w:bidi w:val="0"/>
        <w:adjustRightInd w:val="0"/>
        <w:snapToGrid w:val="0"/>
        <w:spacing w:line="540" w:lineRule="exact"/>
        <w:ind w:firstLine="640" w:firstLineChars="200"/>
        <w:textAlignment w:val="auto"/>
        <w:rPr>
          <w:rFonts w:hint="eastAsia" w:ascii="仿宋_GB2312" w:hAnsi="Times New Roman" w:eastAsia="仿宋_GB2312" w:cs="Times New Roman"/>
          <w:color w:val="auto"/>
          <w:kern w:val="2"/>
          <w:sz w:val="32"/>
          <w:szCs w:val="32"/>
          <w:highlight w:val="none"/>
          <w:lang w:val="en-US" w:eastAsia="zh-CN" w:bidi="ar-SA"/>
        </w:rPr>
      </w:pPr>
      <w:r>
        <w:rPr>
          <w:rFonts w:hint="eastAsia" w:ascii="仿宋_GB2312" w:hAnsi="Times New Roman" w:eastAsia="仿宋_GB2312" w:cs="Times New Roman"/>
          <w:color w:val="auto"/>
          <w:kern w:val="2"/>
          <w:sz w:val="32"/>
          <w:szCs w:val="32"/>
          <w:highlight w:val="none"/>
          <w:lang w:val="en-US" w:eastAsia="zh-CN" w:bidi="ar-SA"/>
        </w:rPr>
        <w:t>本标准旨在为省</w:t>
      </w:r>
      <w:r>
        <w:rPr>
          <w:rFonts w:hint="eastAsia" w:ascii="仿宋_GB2312" w:eastAsia="仿宋_GB2312" w:cs="Times New Roman"/>
          <w:color w:val="auto"/>
          <w:kern w:val="2"/>
          <w:sz w:val="32"/>
          <w:szCs w:val="32"/>
          <w:highlight w:val="none"/>
          <w:lang w:val="en-US" w:eastAsia="zh-CN" w:bidi="ar-SA"/>
        </w:rPr>
        <w:t>内</w:t>
      </w:r>
      <w:r>
        <w:rPr>
          <w:rFonts w:hint="eastAsia" w:ascii="仿宋_GB2312" w:hAnsi="Times New Roman" w:eastAsia="仿宋_GB2312"/>
          <w:color w:val="auto"/>
          <w:kern w:val="0"/>
          <w:sz w:val="32"/>
          <w:szCs w:val="32"/>
          <w:highlight w:val="none"/>
        </w:rPr>
        <w:t>食品相关产品生产企业</w:t>
      </w:r>
      <w:r>
        <w:rPr>
          <w:rFonts w:hint="eastAsia" w:ascii="仿宋_GB2312" w:eastAsia="仿宋_GB2312"/>
          <w:color w:val="auto"/>
          <w:kern w:val="0"/>
          <w:sz w:val="32"/>
          <w:szCs w:val="32"/>
          <w:highlight w:val="none"/>
          <w:lang w:val="en-US" w:eastAsia="zh-CN"/>
        </w:rPr>
        <w:t>开展</w:t>
      </w:r>
      <w:r>
        <w:rPr>
          <w:rFonts w:hint="eastAsia" w:ascii="仿宋_GB2312" w:hAnsi="Times New Roman" w:eastAsia="仿宋_GB2312"/>
          <w:color w:val="auto"/>
          <w:kern w:val="0"/>
          <w:sz w:val="32"/>
          <w:szCs w:val="32"/>
          <w:highlight w:val="none"/>
        </w:rPr>
        <w:t>质量提升</w:t>
      </w:r>
      <w:r>
        <w:rPr>
          <w:rFonts w:hint="eastAsia" w:ascii="仿宋_GB2312" w:hAnsi="Times New Roman" w:eastAsia="仿宋_GB2312" w:cs="Times New Roman"/>
          <w:color w:val="auto"/>
          <w:kern w:val="2"/>
          <w:sz w:val="32"/>
          <w:szCs w:val="32"/>
          <w:highlight w:val="none"/>
          <w:lang w:val="en-US" w:eastAsia="zh-CN" w:bidi="ar-SA"/>
        </w:rPr>
        <w:t>工作提供指引，充分发挥</w:t>
      </w:r>
      <w:r>
        <w:rPr>
          <w:rFonts w:hint="eastAsia" w:ascii="仿宋_GB2312" w:eastAsia="仿宋_GB2312" w:cs="Times New Roman"/>
          <w:color w:val="auto"/>
          <w:kern w:val="2"/>
          <w:sz w:val="32"/>
          <w:szCs w:val="32"/>
          <w:highlight w:val="none"/>
          <w:lang w:val="en-US" w:eastAsia="zh-CN" w:bidi="ar-SA"/>
        </w:rPr>
        <w:t>本</w:t>
      </w:r>
      <w:r>
        <w:rPr>
          <w:rFonts w:hint="eastAsia" w:ascii="仿宋_GB2312" w:hAnsi="Times New Roman" w:eastAsia="仿宋_GB2312" w:cs="Times New Roman"/>
          <w:color w:val="auto"/>
          <w:kern w:val="2"/>
          <w:sz w:val="32"/>
          <w:szCs w:val="32"/>
          <w:highlight w:val="none"/>
          <w:lang w:val="en-US" w:eastAsia="zh-CN" w:bidi="ar-SA"/>
        </w:rPr>
        <w:t>标准的引领作用，全面</w:t>
      </w:r>
      <w:r>
        <w:rPr>
          <w:rFonts w:hint="eastAsia" w:ascii="仿宋_GB2312" w:eastAsia="仿宋_GB2312" w:cs="Times New Roman"/>
          <w:color w:val="auto"/>
          <w:kern w:val="2"/>
          <w:sz w:val="32"/>
          <w:szCs w:val="32"/>
          <w:highlight w:val="none"/>
          <w:lang w:val="en-US" w:eastAsia="zh-CN" w:bidi="ar-SA"/>
        </w:rPr>
        <w:t>完善</w:t>
      </w:r>
      <w:r>
        <w:rPr>
          <w:rFonts w:hint="eastAsia" w:ascii="仿宋_GB2312" w:hAnsi="仿宋_GB2312" w:eastAsia="仿宋_GB2312" w:cs="宋体"/>
          <w:color w:val="auto"/>
          <w:sz w:val="32"/>
          <w:szCs w:val="32"/>
          <w:highlight w:val="none"/>
          <w:lang w:eastAsia="zh-CN"/>
        </w:rPr>
        <w:t>食品相关产品生产</w:t>
      </w:r>
      <w:r>
        <w:rPr>
          <w:rFonts w:hint="eastAsia" w:ascii="仿宋_GB2312" w:eastAsia="仿宋_GB2312" w:cs="Times New Roman"/>
          <w:color w:val="auto"/>
          <w:kern w:val="2"/>
          <w:sz w:val="32"/>
          <w:szCs w:val="32"/>
          <w:highlight w:val="none"/>
          <w:lang w:val="en-US" w:eastAsia="zh-CN" w:bidi="ar-SA"/>
        </w:rPr>
        <w:t>工作流程，</w:t>
      </w:r>
      <w:r>
        <w:rPr>
          <w:rFonts w:hint="eastAsia" w:ascii="仿宋_GB2312" w:hAnsi="Times New Roman" w:eastAsia="仿宋_GB2312" w:cs="Times New Roman"/>
          <w:color w:val="auto"/>
          <w:kern w:val="2"/>
          <w:sz w:val="32"/>
          <w:szCs w:val="32"/>
          <w:highlight w:val="none"/>
          <w:lang w:val="en-US" w:eastAsia="zh-CN" w:bidi="ar-SA"/>
        </w:rPr>
        <w:t>规范我省</w:t>
      </w:r>
      <w:r>
        <w:rPr>
          <w:rFonts w:hint="eastAsia" w:ascii="仿宋_GB2312" w:eastAsia="仿宋_GB2312" w:cs="Times New Roman"/>
          <w:color w:val="auto"/>
          <w:kern w:val="2"/>
          <w:sz w:val="32"/>
          <w:szCs w:val="32"/>
          <w:highlight w:val="none"/>
          <w:lang w:val="en-US" w:eastAsia="zh-CN" w:bidi="ar-SA"/>
        </w:rPr>
        <w:t>食品相关产品生产企业质量提升</w:t>
      </w:r>
      <w:r>
        <w:rPr>
          <w:rFonts w:hint="eastAsia" w:ascii="仿宋_GB2312" w:hAnsi="Times New Roman" w:eastAsia="仿宋_GB2312" w:cs="Times New Roman"/>
          <w:color w:val="auto"/>
          <w:kern w:val="2"/>
          <w:sz w:val="32"/>
          <w:szCs w:val="32"/>
          <w:highlight w:val="none"/>
          <w:lang w:val="en-US" w:eastAsia="zh-CN" w:bidi="ar-SA"/>
        </w:rPr>
        <w:t>工作</w:t>
      </w:r>
      <w:r>
        <w:rPr>
          <w:rFonts w:hint="eastAsia" w:ascii="仿宋_GB2312" w:eastAsia="仿宋_GB2312" w:cs="Times New Roman"/>
          <w:color w:val="auto"/>
          <w:kern w:val="2"/>
          <w:sz w:val="32"/>
          <w:szCs w:val="32"/>
          <w:highlight w:val="none"/>
          <w:lang w:val="en-US" w:eastAsia="zh-CN" w:bidi="ar-SA"/>
        </w:rPr>
        <w:t>。</w:t>
      </w:r>
      <w:r>
        <w:rPr>
          <w:rFonts w:hint="eastAsia" w:ascii="仿宋_GB2312" w:hAnsi="Times New Roman" w:eastAsia="仿宋_GB2312" w:cs="Times New Roman"/>
          <w:color w:val="auto"/>
          <w:kern w:val="2"/>
          <w:sz w:val="32"/>
          <w:szCs w:val="32"/>
          <w:highlight w:val="none"/>
          <w:lang w:val="en-US" w:eastAsia="zh-CN" w:bidi="ar-SA"/>
        </w:rPr>
        <w:t>有助于</w:t>
      </w:r>
      <w:r>
        <w:rPr>
          <w:rFonts w:hint="eastAsia" w:ascii="仿宋_GB2312" w:eastAsia="仿宋_GB2312" w:cs="Times New Roman"/>
          <w:color w:val="auto"/>
          <w:kern w:val="2"/>
          <w:sz w:val="32"/>
          <w:szCs w:val="32"/>
          <w:highlight w:val="none"/>
          <w:lang w:val="en-US" w:eastAsia="zh-CN" w:bidi="ar-SA"/>
        </w:rPr>
        <w:t>企业持续改进食品相关产品质量安全管理体系</w:t>
      </w:r>
      <w:r>
        <w:rPr>
          <w:rFonts w:hint="eastAsia" w:ascii="仿宋_GB2312" w:hAnsi="Times New Roman" w:eastAsia="仿宋_GB2312" w:cs="Times New Roman"/>
          <w:color w:val="auto"/>
          <w:kern w:val="2"/>
          <w:sz w:val="32"/>
          <w:szCs w:val="32"/>
          <w:highlight w:val="none"/>
          <w:lang w:val="en-US" w:eastAsia="zh-CN" w:bidi="ar-SA"/>
        </w:rPr>
        <w:t>，切实增强维护消费安全的责任感，为我省</w:t>
      </w:r>
      <w:r>
        <w:rPr>
          <w:rFonts w:hint="eastAsia" w:ascii="仿宋_GB2312" w:eastAsia="仿宋_GB2312" w:cs="Times New Roman"/>
          <w:color w:val="auto"/>
          <w:kern w:val="2"/>
          <w:sz w:val="32"/>
          <w:szCs w:val="32"/>
          <w:highlight w:val="none"/>
          <w:lang w:val="en-US" w:eastAsia="zh-CN" w:bidi="ar-SA"/>
        </w:rPr>
        <w:t>安全生产</w:t>
      </w:r>
      <w:r>
        <w:rPr>
          <w:rFonts w:hint="eastAsia" w:ascii="仿宋_GB2312" w:hAnsi="Times New Roman" w:eastAsia="仿宋_GB2312" w:cs="Times New Roman"/>
          <w:color w:val="auto"/>
          <w:kern w:val="2"/>
          <w:sz w:val="32"/>
          <w:szCs w:val="32"/>
          <w:highlight w:val="none"/>
          <w:lang w:val="en-US" w:eastAsia="zh-CN" w:bidi="ar-SA"/>
        </w:rPr>
        <w:t>质量保障打下了良好的基础。</w:t>
      </w:r>
    </w:p>
    <w:p w14:paraId="6CD8DA66">
      <w:pPr>
        <w:keepNext w:val="0"/>
        <w:keepLines w:val="0"/>
        <w:pageBreakBefore w:val="0"/>
        <w:kinsoku/>
        <w:wordWrap/>
        <w:overflowPunct/>
        <w:topLinePunct w:val="0"/>
        <w:autoSpaceDE/>
        <w:autoSpaceDN/>
        <w:bidi w:val="0"/>
        <w:adjustRightInd w:val="0"/>
        <w:snapToGrid w:val="0"/>
        <w:spacing w:line="540" w:lineRule="exact"/>
        <w:ind w:firstLine="640" w:firstLineChars="200"/>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lang w:eastAsia="zh-CN"/>
        </w:rPr>
        <w:t>十</w:t>
      </w:r>
      <w:r>
        <w:rPr>
          <w:rFonts w:hint="eastAsia" w:ascii="黑体" w:hAnsi="黑体" w:eastAsia="黑体" w:cs="黑体"/>
          <w:b w:val="0"/>
          <w:bCs/>
          <w:color w:val="auto"/>
          <w:kern w:val="0"/>
          <w:sz w:val="32"/>
          <w:szCs w:val="32"/>
          <w:highlight w:val="none"/>
        </w:rPr>
        <w:t>、贯彻标准的要求和措施建议</w:t>
      </w:r>
    </w:p>
    <w:p w14:paraId="5BB4D893">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default" w:ascii="仿宋_GB2312" w:hAnsi="Times New Roman" w:eastAsia="仿宋_GB2312"/>
          <w:color w:val="auto"/>
          <w:sz w:val="32"/>
          <w:szCs w:val="32"/>
          <w:highlight w:val="none"/>
          <w:lang w:val="en-US" w:eastAsia="zh-CN"/>
        </w:rPr>
      </w:pPr>
      <w:r>
        <w:rPr>
          <w:rFonts w:hint="eastAsia" w:ascii="仿宋_GB2312" w:hAnsi="Times New Roman" w:eastAsia="仿宋_GB2312"/>
          <w:color w:val="auto"/>
          <w:sz w:val="32"/>
          <w:szCs w:val="32"/>
          <w:highlight w:val="none"/>
          <w:lang w:val="en-US" w:eastAsia="zh-CN"/>
        </w:rPr>
        <w:t>1、建议有关部门将本标准下发至</w:t>
      </w:r>
      <w:r>
        <w:rPr>
          <w:rFonts w:hint="eastAsia" w:ascii="仿宋_GB2312" w:hAnsi="Times New Roman" w:eastAsia="仿宋_GB2312"/>
          <w:color w:val="auto"/>
          <w:kern w:val="0"/>
          <w:sz w:val="32"/>
          <w:szCs w:val="32"/>
          <w:highlight w:val="none"/>
          <w:lang w:val="en-US" w:eastAsia="zh-CN"/>
        </w:rPr>
        <w:t>各</w:t>
      </w:r>
      <w:r>
        <w:rPr>
          <w:rFonts w:hint="eastAsia" w:ascii="仿宋_GB2312" w:hAnsi="Times New Roman" w:eastAsia="仿宋_GB2312"/>
          <w:color w:val="auto"/>
          <w:sz w:val="32"/>
          <w:szCs w:val="32"/>
          <w:lang w:val="en-US" w:eastAsia="zh-CN"/>
        </w:rPr>
        <w:t>发至各级</w:t>
      </w:r>
      <w:r>
        <w:rPr>
          <w:rFonts w:hint="eastAsia" w:ascii="仿宋_GB2312" w:hAnsi="仿宋_GB2312" w:eastAsia="仿宋_GB2312" w:cs="宋体"/>
          <w:color w:val="auto"/>
          <w:sz w:val="32"/>
          <w:szCs w:val="32"/>
          <w:highlight w:val="none"/>
          <w:lang w:eastAsia="zh-CN"/>
        </w:rPr>
        <w:t>食品相关产品</w:t>
      </w:r>
      <w:r>
        <w:rPr>
          <w:rFonts w:hint="eastAsia" w:ascii="仿宋_GB2312" w:hAnsi="Times New Roman" w:eastAsia="仿宋_GB2312" w:cs="Times New Roman"/>
          <w:color w:val="000000"/>
          <w:kern w:val="2"/>
          <w:sz w:val="32"/>
          <w:szCs w:val="32"/>
          <w:lang w:val="en-US" w:eastAsia="zh-CN" w:bidi="ar-SA"/>
        </w:rPr>
        <w:t>监管部门、相关技术机</w:t>
      </w:r>
      <w:r>
        <w:rPr>
          <w:rFonts w:hint="eastAsia" w:ascii="仿宋_GB2312" w:hAnsi="Times New Roman" w:eastAsia="仿宋_GB2312" w:cs="Times New Roman"/>
          <w:color w:val="auto"/>
          <w:sz w:val="32"/>
          <w:szCs w:val="32"/>
          <w:highlight w:val="none"/>
          <w:lang w:val="en-US" w:eastAsia="zh-CN"/>
        </w:rPr>
        <w:t>构及食品相关产品生产企业，进行宣</w:t>
      </w:r>
      <w:r>
        <w:rPr>
          <w:rFonts w:hint="eastAsia" w:ascii="仿宋_GB2312" w:hAnsi="Times New Roman" w:eastAsia="仿宋_GB2312" w:cs="Times New Roman"/>
          <w:color w:val="auto"/>
          <w:kern w:val="2"/>
          <w:sz w:val="32"/>
          <w:szCs w:val="32"/>
          <w:highlight w:val="none"/>
          <w:lang w:val="en-US" w:eastAsia="zh-CN" w:bidi="ar-SA"/>
        </w:rPr>
        <w:t>传、贯彻和培训</w:t>
      </w:r>
      <w:r>
        <w:rPr>
          <w:rFonts w:hint="eastAsia" w:ascii="仿宋_GB2312" w:hAnsi="Times New Roman" w:eastAsia="仿宋_GB2312"/>
          <w:color w:val="auto"/>
          <w:sz w:val="32"/>
          <w:szCs w:val="32"/>
          <w:highlight w:val="none"/>
          <w:lang w:val="en-US" w:eastAsia="zh-CN"/>
        </w:rPr>
        <w:t>。</w:t>
      </w:r>
    </w:p>
    <w:p w14:paraId="467978E8">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textAlignment w:val="auto"/>
        <w:rPr>
          <w:rFonts w:hint="eastAsia" w:ascii="仿宋_GB2312" w:hAnsi="Times New Roman" w:eastAsia="仿宋_GB2312"/>
          <w:color w:val="auto"/>
          <w:sz w:val="32"/>
          <w:szCs w:val="32"/>
          <w:highlight w:val="none"/>
          <w:lang w:val="en-US" w:eastAsia="zh-CN"/>
        </w:rPr>
      </w:pPr>
      <w:r>
        <w:rPr>
          <w:rFonts w:hint="eastAsia" w:ascii="仿宋_GB2312" w:hAnsi="Times New Roman" w:eastAsia="仿宋_GB2312"/>
          <w:color w:val="auto"/>
          <w:sz w:val="32"/>
          <w:szCs w:val="32"/>
          <w:highlight w:val="none"/>
          <w:lang w:val="en-US" w:eastAsia="zh-CN"/>
        </w:rPr>
        <w:t>2、本标准为首次制定，在实施过程中，</w:t>
      </w:r>
      <w:r>
        <w:rPr>
          <w:rFonts w:hint="eastAsia" w:ascii="仿宋_GB2312" w:hAnsi="Times New Roman" w:eastAsia="仿宋_GB2312"/>
          <w:color w:val="auto"/>
          <w:sz w:val="32"/>
          <w:szCs w:val="32"/>
          <w:lang w:val="en-US" w:eastAsia="zh-CN"/>
        </w:rPr>
        <w:t>各级</w:t>
      </w:r>
      <w:r>
        <w:rPr>
          <w:rFonts w:hint="eastAsia" w:ascii="仿宋_GB2312" w:hAnsi="仿宋_GB2312" w:eastAsia="仿宋_GB2312" w:cs="宋体"/>
          <w:color w:val="auto"/>
          <w:sz w:val="32"/>
          <w:szCs w:val="32"/>
          <w:highlight w:val="none"/>
          <w:lang w:eastAsia="zh-CN"/>
        </w:rPr>
        <w:t>食品相关产品</w:t>
      </w:r>
      <w:r>
        <w:rPr>
          <w:rFonts w:hint="eastAsia" w:ascii="仿宋_GB2312" w:hAnsi="Times New Roman" w:eastAsia="仿宋_GB2312" w:cs="Times New Roman"/>
          <w:color w:val="000000"/>
          <w:kern w:val="2"/>
          <w:sz w:val="32"/>
          <w:szCs w:val="32"/>
          <w:lang w:val="en-US" w:eastAsia="zh-CN" w:bidi="ar-SA"/>
        </w:rPr>
        <w:t>监管部门、相关技术机</w:t>
      </w:r>
      <w:r>
        <w:rPr>
          <w:rFonts w:hint="eastAsia" w:ascii="仿宋_GB2312" w:hAnsi="Times New Roman" w:eastAsia="仿宋_GB2312" w:cs="Times New Roman"/>
          <w:color w:val="auto"/>
          <w:sz w:val="32"/>
          <w:szCs w:val="32"/>
          <w:highlight w:val="none"/>
          <w:lang w:val="en-US" w:eastAsia="zh-CN"/>
        </w:rPr>
        <w:t>构及食品相关产品生产企业</w:t>
      </w:r>
      <w:r>
        <w:rPr>
          <w:rFonts w:hint="eastAsia" w:ascii="仿宋_GB2312" w:hAnsi="Times New Roman" w:eastAsia="仿宋_GB2312"/>
          <w:color w:val="auto"/>
          <w:sz w:val="32"/>
          <w:szCs w:val="32"/>
          <w:highlight w:val="none"/>
          <w:lang w:val="en-US" w:eastAsia="zh-CN"/>
        </w:rPr>
        <w:t>有意见建议及时告知本标准编制单位，进行进一步的修订完善。</w:t>
      </w:r>
    </w:p>
    <w:p w14:paraId="539E4867">
      <w:pPr>
        <w:keepNext w:val="0"/>
        <w:keepLines w:val="0"/>
        <w:pageBreakBefore w:val="0"/>
        <w:kinsoku/>
        <w:wordWrap/>
        <w:overflowPunct/>
        <w:topLinePunct w:val="0"/>
        <w:autoSpaceDE/>
        <w:autoSpaceDN/>
        <w:bidi w:val="0"/>
        <w:adjustRightInd w:val="0"/>
        <w:snapToGrid w:val="0"/>
        <w:spacing w:line="540" w:lineRule="exact"/>
        <w:ind w:left="0" w:leftChars="0" w:firstLine="640" w:firstLineChars="200"/>
        <w:jc w:val="center"/>
        <w:textAlignment w:val="auto"/>
        <w:rPr>
          <w:rFonts w:hint="eastAsia" w:ascii="仿宋_GB2312" w:hAnsi="Times New Roman" w:eastAsia="仿宋_GB2312" w:cs="Times New Roman"/>
          <w:color w:val="auto"/>
          <w:sz w:val="32"/>
          <w:szCs w:val="32"/>
          <w:highlight w:val="none"/>
          <w:lang w:val="en-US" w:eastAsia="zh-CN"/>
        </w:rPr>
      </w:pPr>
      <w:r>
        <w:rPr>
          <w:rFonts w:hint="eastAsia" w:ascii="仿宋_GB2312" w:hAnsi="Times New Roman" w:eastAsia="仿宋_GB2312" w:cs="Times New Roman"/>
          <w:color w:val="auto"/>
          <w:sz w:val="32"/>
          <w:szCs w:val="32"/>
          <w:highlight w:val="none"/>
          <w:lang w:val="en-US" w:eastAsia="zh-CN"/>
        </w:rPr>
        <w:t>《</w:t>
      </w:r>
      <w:r>
        <w:rPr>
          <w:rFonts w:hint="eastAsia" w:ascii="仿宋_GB2312" w:hAnsi="仿宋_GB2312" w:eastAsia="仿宋_GB2312" w:cs="宋体"/>
          <w:color w:val="auto"/>
          <w:sz w:val="32"/>
          <w:szCs w:val="32"/>
          <w:highlight w:val="none"/>
          <w:lang w:eastAsia="zh-CN"/>
        </w:rPr>
        <w:t>食品相关产品生产企业质量提升指南</w:t>
      </w:r>
      <w:r>
        <w:rPr>
          <w:rFonts w:hint="eastAsia" w:ascii="仿宋_GB2312" w:hAnsi="Times New Roman" w:eastAsia="仿宋_GB2312" w:cs="Times New Roman"/>
          <w:color w:val="auto"/>
          <w:sz w:val="32"/>
          <w:szCs w:val="32"/>
          <w:highlight w:val="none"/>
          <w:lang w:val="en-US" w:eastAsia="zh-CN"/>
        </w:rPr>
        <w:t>》标准起草小组</w:t>
      </w:r>
    </w:p>
    <w:p w14:paraId="258FDDD7">
      <w:pPr>
        <w:keepNext w:val="0"/>
        <w:keepLines w:val="0"/>
        <w:pageBreakBefore w:val="0"/>
        <w:kinsoku/>
        <w:wordWrap/>
        <w:overflowPunct/>
        <w:topLinePunct w:val="0"/>
        <w:autoSpaceDE/>
        <w:autoSpaceDN/>
        <w:bidi w:val="0"/>
        <w:adjustRightInd w:val="0"/>
        <w:snapToGrid w:val="0"/>
        <w:spacing w:line="540" w:lineRule="exact"/>
        <w:ind w:right="560" w:firstLine="640" w:firstLineChars="200"/>
        <w:jc w:val="center"/>
        <w:textAlignment w:val="auto"/>
        <w:rPr>
          <w:color w:val="auto"/>
          <w:highlight w:val="none"/>
        </w:rPr>
      </w:pPr>
      <w:r>
        <w:rPr>
          <w:rFonts w:hint="eastAsia" w:ascii="仿宋_GB2312" w:hAnsi="Times New Roman" w:eastAsia="仿宋_GB2312" w:cs="Times New Roman"/>
          <w:color w:val="auto"/>
          <w:sz w:val="32"/>
          <w:szCs w:val="32"/>
          <w:highlight w:val="none"/>
          <w:lang w:val="en-US" w:eastAsia="zh-CN"/>
        </w:rPr>
        <w:t xml:space="preserve">                      2024年5月10日</w:t>
      </w:r>
    </w:p>
    <w:sectPr>
      <w:footerReference r:id="rId3" w:type="default"/>
      <w:pgSz w:w="11906" w:h="16838"/>
      <w:pgMar w:top="1440" w:right="1588" w:bottom="130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E6D290">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20E212">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220E212">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A133D6"/>
    <w:multiLevelType w:val="singleLevel"/>
    <w:tmpl w:val="8EA133D6"/>
    <w:lvl w:ilvl="0" w:tentative="0">
      <w:start w:val="1"/>
      <w:numFmt w:val="chineseCounting"/>
      <w:suff w:val="nothing"/>
      <w:lvlText w:val="%1、"/>
      <w:lvlJc w:val="left"/>
      <w:rPr>
        <w:rFonts w:hint="eastAsia"/>
      </w:rPr>
    </w:lvl>
  </w:abstractNum>
  <w:abstractNum w:abstractNumId="1">
    <w:nsid w:val="02EF3F6C"/>
    <w:multiLevelType w:val="multilevel"/>
    <w:tmpl w:val="02EF3F6C"/>
    <w:lvl w:ilvl="0" w:tentative="0">
      <w:start w:val="1"/>
      <w:numFmt w:val="decimal"/>
      <w:pStyle w:val="17"/>
      <w:suff w:val="nothing"/>
      <w:lvlText w:val="%1　"/>
      <w:lvlJc w:val="left"/>
      <w:pPr>
        <w:ind w:left="0" w:leftChars="0" w:firstLine="0" w:firstLineChars="0"/>
      </w:pPr>
      <w:rPr>
        <w:rFonts w:hint="default" w:ascii="黑体" w:hAnsi="黑体" w:eastAsia="黑体" w:cs="黑体"/>
        <w:sz w:val="20"/>
      </w:rPr>
    </w:lvl>
    <w:lvl w:ilvl="1" w:tentative="0">
      <w:start w:val="1"/>
      <w:numFmt w:val="decimal"/>
      <w:pStyle w:val="16"/>
      <w:suff w:val="nothing"/>
      <w:lvlText w:val="7.%2　"/>
      <w:lvlJc w:val="left"/>
      <w:pPr>
        <w:tabs>
          <w:tab w:val="left" w:pos="0"/>
        </w:tabs>
        <w:ind w:left="0" w:leftChars="0" w:firstLine="0" w:firstLineChars="0"/>
      </w:pPr>
      <w:rPr>
        <w:rFonts w:hint="default" w:ascii="黑体" w:hAnsi="黑体" w:eastAsia="黑体" w:cs="黑体"/>
        <w:sz w:val="20"/>
      </w:rPr>
    </w:lvl>
    <w:lvl w:ilvl="2" w:tentative="0">
      <w:start w:val="1"/>
      <w:numFmt w:val="decimal"/>
      <w:suff w:val="nothing"/>
      <w:lvlText w:val="%1.%2.%3　"/>
      <w:lvlJc w:val="left"/>
      <w:pPr>
        <w:ind w:left="0" w:leftChars="0" w:firstLine="0" w:firstLineChars="0"/>
      </w:pPr>
      <w:rPr>
        <w:rFonts w:hint="default" w:ascii="黑体" w:hAnsi="黑体" w:eastAsia="黑体" w:cs="黑体"/>
        <w:sz w:val="20"/>
      </w:rPr>
    </w:lvl>
    <w:lvl w:ilvl="3" w:tentative="0">
      <w:start w:val="1"/>
      <w:numFmt w:val="decimal"/>
      <w:suff w:val="nothing"/>
      <w:lvlText w:val="%1.%2.%3.%4　"/>
      <w:lvlJc w:val="left"/>
      <w:pPr>
        <w:ind w:left="0" w:leftChars="0" w:firstLine="0" w:firstLineChars="0"/>
      </w:pPr>
      <w:rPr>
        <w:rFonts w:hint="default" w:ascii="黑体" w:hAnsi="黑体" w:eastAsia="黑体" w:cs="黑体"/>
        <w:sz w:val="20"/>
      </w:rPr>
    </w:lvl>
    <w:lvl w:ilvl="4" w:tentative="0">
      <w:start w:val="1"/>
      <w:numFmt w:val="decimal"/>
      <w:suff w:val="nothing"/>
      <w:lvlText w:val="%1.%2.%3.%4.%5　"/>
      <w:lvlJc w:val="left"/>
      <w:pPr>
        <w:ind w:left="0" w:leftChars="0" w:firstLine="0" w:firstLineChars="0"/>
      </w:pPr>
      <w:rPr>
        <w:rFonts w:hint="default" w:ascii="黑体" w:hAnsi="黑体" w:eastAsia="黑体" w:cs="黑体"/>
        <w:sz w:val="20"/>
      </w:rPr>
    </w:lvl>
    <w:lvl w:ilvl="5" w:tentative="0">
      <w:start w:val="1"/>
      <w:numFmt w:val="decimal"/>
      <w:suff w:val="nothing"/>
      <w:lvlText w:val="%1.%2.%3.%4.%5.%6　"/>
      <w:lvlJc w:val="left"/>
      <w:pPr>
        <w:ind w:left="0" w:leftChars="0" w:firstLine="0" w:firstLineChars="0"/>
      </w:pPr>
      <w:rPr>
        <w:rFonts w:hint="default" w:ascii="黑体" w:hAnsi="黑体" w:eastAsia="黑体" w:cs="黑体"/>
        <w:sz w:val="20"/>
      </w:rPr>
    </w:lvl>
    <w:lvl w:ilvl="6" w:tentative="0">
      <w:start w:val="1"/>
      <w:numFmt w:val="lowerLetter"/>
      <w:suff w:val="nothing"/>
      <w:lvlText w:val="%7）"/>
      <w:lvlJc w:val="left"/>
      <w:pPr>
        <w:ind w:left="0" w:firstLine="402"/>
      </w:pPr>
      <w:rPr>
        <w:rFonts w:hint="eastAsia"/>
      </w:rPr>
    </w:lvl>
    <w:lvl w:ilvl="7" w:tentative="0">
      <w:start w:val="1"/>
      <w:numFmt w:val="lowerRoman"/>
      <w:suff w:val="nothing"/>
      <w:lvlText w:val="%8. "/>
      <w:lvlJc w:val="left"/>
      <w:pPr>
        <w:ind w:left="0" w:firstLine="402"/>
      </w:pPr>
      <w:rPr>
        <w:rFonts w:hint="eastAsia"/>
      </w:rPr>
    </w:lvl>
    <w:lvl w:ilvl="8" w:tentative="0">
      <w:start w:val="1"/>
      <w:numFmt w:val="lowerRoman"/>
      <w:suff w:val="nothing"/>
      <w:lvlText w:val="%9）"/>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ZWEzNDc2NmI4Yjk5MTYzMjY0ZGUyOWE4YjQzOTEifQ=="/>
    <w:docVar w:name="KSO_WPS_MARK_KEY" w:val="3ad4e7dc-a626-4e51-985c-1de457dd62a6"/>
  </w:docVars>
  <w:rsids>
    <w:rsidRoot w:val="1BE34F8C"/>
    <w:rsid w:val="00173ED5"/>
    <w:rsid w:val="00544CFE"/>
    <w:rsid w:val="00CF5500"/>
    <w:rsid w:val="010E179D"/>
    <w:rsid w:val="020F1380"/>
    <w:rsid w:val="02AF383B"/>
    <w:rsid w:val="02F94AB6"/>
    <w:rsid w:val="04210B99"/>
    <w:rsid w:val="04A134EE"/>
    <w:rsid w:val="06FD269B"/>
    <w:rsid w:val="07163748"/>
    <w:rsid w:val="08BB35AB"/>
    <w:rsid w:val="09BD45E6"/>
    <w:rsid w:val="0A827597"/>
    <w:rsid w:val="0A9C7C35"/>
    <w:rsid w:val="0B0400DA"/>
    <w:rsid w:val="0B207DFC"/>
    <w:rsid w:val="0D920C64"/>
    <w:rsid w:val="0E7B23C8"/>
    <w:rsid w:val="0E8E352F"/>
    <w:rsid w:val="0F16254C"/>
    <w:rsid w:val="0F47673E"/>
    <w:rsid w:val="0F5C6D10"/>
    <w:rsid w:val="0F6D12FE"/>
    <w:rsid w:val="0FB80C50"/>
    <w:rsid w:val="0FE72BAF"/>
    <w:rsid w:val="111B6540"/>
    <w:rsid w:val="112C36D3"/>
    <w:rsid w:val="14220022"/>
    <w:rsid w:val="15312BF7"/>
    <w:rsid w:val="157A68B3"/>
    <w:rsid w:val="171D7FD8"/>
    <w:rsid w:val="17DD62BD"/>
    <w:rsid w:val="1831475F"/>
    <w:rsid w:val="18397BB8"/>
    <w:rsid w:val="192A0237"/>
    <w:rsid w:val="19BC209D"/>
    <w:rsid w:val="19DD1CF7"/>
    <w:rsid w:val="1A67359E"/>
    <w:rsid w:val="1BB2184F"/>
    <w:rsid w:val="1BE34F8C"/>
    <w:rsid w:val="1BEE234F"/>
    <w:rsid w:val="1C527552"/>
    <w:rsid w:val="1D1B5E91"/>
    <w:rsid w:val="1D756FD8"/>
    <w:rsid w:val="1DD457BC"/>
    <w:rsid w:val="1E450320"/>
    <w:rsid w:val="1E79580D"/>
    <w:rsid w:val="1E852CCC"/>
    <w:rsid w:val="207D76D5"/>
    <w:rsid w:val="20E95F52"/>
    <w:rsid w:val="227B478A"/>
    <w:rsid w:val="23D62A7A"/>
    <w:rsid w:val="246758CC"/>
    <w:rsid w:val="24C83355"/>
    <w:rsid w:val="26524604"/>
    <w:rsid w:val="27466343"/>
    <w:rsid w:val="277F64C4"/>
    <w:rsid w:val="27FFC608"/>
    <w:rsid w:val="2A462018"/>
    <w:rsid w:val="2B3C3314"/>
    <w:rsid w:val="2BF83D2E"/>
    <w:rsid w:val="2D4B3B86"/>
    <w:rsid w:val="2F9764E6"/>
    <w:rsid w:val="2FBE3418"/>
    <w:rsid w:val="3118764E"/>
    <w:rsid w:val="313A63D7"/>
    <w:rsid w:val="34D21323"/>
    <w:rsid w:val="35253D2B"/>
    <w:rsid w:val="358F6139"/>
    <w:rsid w:val="362A7311"/>
    <w:rsid w:val="378EBB49"/>
    <w:rsid w:val="39FF38F8"/>
    <w:rsid w:val="3BBDCF10"/>
    <w:rsid w:val="3C38267A"/>
    <w:rsid w:val="3C6634F2"/>
    <w:rsid w:val="3C8C5225"/>
    <w:rsid w:val="3CB46D7D"/>
    <w:rsid w:val="3D346BA3"/>
    <w:rsid w:val="3D747028"/>
    <w:rsid w:val="3D91058D"/>
    <w:rsid w:val="3DC8149C"/>
    <w:rsid w:val="3DCD7CBA"/>
    <w:rsid w:val="3E5534D8"/>
    <w:rsid w:val="3FB03DDA"/>
    <w:rsid w:val="3FB2F60B"/>
    <w:rsid w:val="3FE708BE"/>
    <w:rsid w:val="3FEB3E8A"/>
    <w:rsid w:val="40240823"/>
    <w:rsid w:val="40CD75FA"/>
    <w:rsid w:val="417A4695"/>
    <w:rsid w:val="421B24FF"/>
    <w:rsid w:val="423B3A9C"/>
    <w:rsid w:val="429157C0"/>
    <w:rsid w:val="43335C5F"/>
    <w:rsid w:val="43346E69"/>
    <w:rsid w:val="452D158C"/>
    <w:rsid w:val="476B04B5"/>
    <w:rsid w:val="49480AF6"/>
    <w:rsid w:val="49AE6D2D"/>
    <w:rsid w:val="4A493BE6"/>
    <w:rsid w:val="4AE729B3"/>
    <w:rsid w:val="4CD70CAE"/>
    <w:rsid w:val="4CFB2073"/>
    <w:rsid w:val="4E99C1C4"/>
    <w:rsid w:val="4EF66C8D"/>
    <w:rsid w:val="4F1D2EA8"/>
    <w:rsid w:val="4FAB14FB"/>
    <w:rsid w:val="4FFA6D45"/>
    <w:rsid w:val="5032409D"/>
    <w:rsid w:val="509E3B74"/>
    <w:rsid w:val="50EA57CF"/>
    <w:rsid w:val="51DF7B64"/>
    <w:rsid w:val="524845E8"/>
    <w:rsid w:val="525A7D8B"/>
    <w:rsid w:val="53C51035"/>
    <w:rsid w:val="53F47681"/>
    <w:rsid w:val="54B756AE"/>
    <w:rsid w:val="55961CE5"/>
    <w:rsid w:val="56B624FB"/>
    <w:rsid w:val="56F508DE"/>
    <w:rsid w:val="57CD2971"/>
    <w:rsid w:val="57D833A7"/>
    <w:rsid w:val="58AD5A20"/>
    <w:rsid w:val="590C69D5"/>
    <w:rsid w:val="59E262CB"/>
    <w:rsid w:val="5B417426"/>
    <w:rsid w:val="5D6E6344"/>
    <w:rsid w:val="5EB79735"/>
    <w:rsid w:val="5ED47131"/>
    <w:rsid w:val="5FB97AEE"/>
    <w:rsid w:val="5FBE22EA"/>
    <w:rsid w:val="5FCD025D"/>
    <w:rsid w:val="60BF4D40"/>
    <w:rsid w:val="60F0394C"/>
    <w:rsid w:val="617B35AA"/>
    <w:rsid w:val="618E4CF7"/>
    <w:rsid w:val="638D0EDA"/>
    <w:rsid w:val="64980F1E"/>
    <w:rsid w:val="656D4ED5"/>
    <w:rsid w:val="65EC6D69"/>
    <w:rsid w:val="66A16A6A"/>
    <w:rsid w:val="66B47C34"/>
    <w:rsid w:val="672524A2"/>
    <w:rsid w:val="67937E05"/>
    <w:rsid w:val="67FF2CF3"/>
    <w:rsid w:val="6A7A370B"/>
    <w:rsid w:val="6AC87D14"/>
    <w:rsid w:val="6B1B7E43"/>
    <w:rsid w:val="6B200345"/>
    <w:rsid w:val="6BD12BF8"/>
    <w:rsid w:val="6C3806B1"/>
    <w:rsid w:val="6C435C13"/>
    <w:rsid w:val="6C7D78FE"/>
    <w:rsid w:val="6D0C2932"/>
    <w:rsid w:val="6DF64B98"/>
    <w:rsid w:val="6E0704F3"/>
    <w:rsid w:val="6E6D4913"/>
    <w:rsid w:val="6E8E3022"/>
    <w:rsid w:val="6F9E1016"/>
    <w:rsid w:val="706F13C6"/>
    <w:rsid w:val="71FA177E"/>
    <w:rsid w:val="7416389E"/>
    <w:rsid w:val="750741FE"/>
    <w:rsid w:val="76070058"/>
    <w:rsid w:val="76070517"/>
    <w:rsid w:val="770B49D9"/>
    <w:rsid w:val="77CA0A7C"/>
    <w:rsid w:val="78621826"/>
    <w:rsid w:val="78656868"/>
    <w:rsid w:val="7AA45FB6"/>
    <w:rsid w:val="7AFE157F"/>
    <w:rsid w:val="7BE9291F"/>
    <w:rsid w:val="7BE95573"/>
    <w:rsid w:val="7BFD23AF"/>
    <w:rsid w:val="7CBA19FD"/>
    <w:rsid w:val="7EB47221"/>
    <w:rsid w:val="7EEF7017"/>
    <w:rsid w:val="7F7814F8"/>
    <w:rsid w:val="7F9F1226"/>
    <w:rsid w:val="7FEE8D2D"/>
    <w:rsid w:val="9EEEBBE8"/>
    <w:rsid w:val="9F3D0BAB"/>
    <w:rsid w:val="B3FE6C49"/>
    <w:rsid w:val="BF9FA18F"/>
    <w:rsid w:val="DFCD3D60"/>
    <w:rsid w:val="E4FC46B7"/>
    <w:rsid w:val="FBBC073C"/>
    <w:rsid w:val="FBDF43CD"/>
    <w:rsid w:val="FF5F0DFC"/>
    <w:rsid w:val="FFEBB34D"/>
    <w:rsid w:val="FFFF30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styleId="3">
    <w:name w:val="Body Text"/>
    <w:basedOn w:val="1"/>
    <w:qFormat/>
    <w:uiPriority w:val="0"/>
    <w:pPr>
      <w:adjustRightInd w:val="0"/>
      <w:spacing w:line="360" w:lineRule="atLeast"/>
      <w:jc w:val="center"/>
      <w:textAlignment w:val="baseline"/>
    </w:pPr>
    <w:rPr>
      <w:kern w:val="0"/>
      <w:sz w:val="24"/>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rPr>
      <w:sz w:val="24"/>
    </w:rPr>
  </w:style>
  <w:style w:type="character" w:styleId="10">
    <w:name w:val="Strong"/>
    <w:basedOn w:val="9"/>
    <w:qFormat/>
    <w:uiPriority w:val="0"/>
    <w:rPr>
      <w:b/>
    </w:rPr>
  </w:style>
  <w:style w:type="paragraph" w:customStyle="1" w:styleId="1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5">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6">
    <w:name w:val="标准文件_一级条标题"/>
    <w:basedOn w:val="17"/>
    <w:next w:val="11"/>
    <w:qFormat/>
    <w:uiPriority w:val="0"/>
    <w:pPr>
      <w:numPr>
        <w:ilvl w:val="1"/>
      </w:numPr>
      <w:spacing w:before="157" w:beforeLines="50" w:after="157" w:afterLines="50"/>
      <w:outlineLvl w:val="1"/>
    </w:pPr>
    <w:rPr>
      <w:rFonts w:hAnsi="Times New Roman"/>
    </w:rPr>
  </w:style>
  <w:style w:type="paragraph" w:customStyle="1" w:styleId="17">
    <w:name w:val="标准文件_章标题"/>
    <w:next w:val="11"/>
    <w:qFormat/>
    <w:uiPriority w:val="0"/>
    <w:pPr>
      <w:numPr>
        <w:ilvl w:val="0"/>
        <w:numId w:val="1"/>
      </w:numPr>
      <w:suppressAutoHyphens w:val="0"/>
      <w:spacing w:before="313" w:beforeLines="100" w:after="313" w:afterLines="100"/>
      <w:jc w:val="both"/>
      <w:outlineLvl w:val="0"/>
    </w:pPr>
    <w:rPr>
      <w:rFonts w:hint="eastAsia" w:ascii="黑体" w:hAnsi="Times New Roman" w:eastAsia="黑体" w:cs="黑体"/>
      <w:sz w:val="21"/>
    </w:rPr>
  </w:style>
  <w:style w:type="paragraph" w:customStyle="1" w:styleId="18">
    <w:name w:val="Style 25"/>
    <w:link w:val="19"/>
    <w:qFormat/>
    <w:uiPriority w:val="0"/>
    <w:pPr>
      <w:spacing w:line="329" w:lineRule="auto"/>
    </w:pPr>
    <w:rPr>
      <w:rFonts w:ascii="宋体" w:hAnsi="宋体" w:eastAsia="宋体" w:cs="宋体"/>
      <w:sz w:val="20"/>
      <w:szCs w:val="20"/>
      <w:lang w:val="zh-CN" w:eastAsia="zh-CN" w:bidi="zh-CN"/>
    </w:rPr>
  </w:style>
  <w:style w:type="character" w:customStyle="1" w:styleId="19">
    <w:name w:val="Char Style 26"/>
    <w:basedOn w:val="9"/>
    <w:link w:val="18"/>
    <w:qFormat/>
    <w:uiPriority w:val="0"/>
    <w:rPr>
      <w:rFonts w:ascii="宋体" w:hAnsi="宋体" w:eastAsia="宋体" w:cs="宋体"/>
      <w:sz w:val="20"/>
      <w:szCs w:val="20"/>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Lenovo\Desktop\&#26032;&#24314;%20XLSX%20&#24037;&#20316;&#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'[新建 XLSX 工作表.xlsx]Sheet1'!$B$1</c:f>
              <c:strCache>
                <c:ptCount val="1"/>
                <c:pt idx="0">
                  <c:v>2021年发现问题企业数量（家）</c:v>
                </c:pt>
              </c:strCache>
            </c:strRef>
          </c:tx>
          <c:spPr>
            <a:solidFill>
              <a:schemeClr val="accent5">
                <a:lumMod val="75000"/>
              </a:schemeClr>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XLSX 工作表.xlsx]Sheet1'!$A$2:$A$8</c:f>
              <c:strCache>
                <c:ptCount val="7"/>
                <c:pt idx="0">
                  <c:v>生产设备</c:v>
                </c:pt>
                <c:pt idx="1">
                  <c:v>生产设施</c:v>
                </c:pt>
                <c:pt idx="2">
                  <c:v>检验设备</c:v>
                </c:pt>
                <c:pt idx="3">
                  <c:v>检验设施</c:v>
                </c:pt>
                <c:pt idx="4">
                  <c:v>原材料验证</c:v>
                </c:pt>
                <c:pt idx="5">
                  <c:v>出厂检验</c:v>
                </c:pt>
                <c:pt idx="6">
                  <c:v>其他</c:v>
                </c:pt>
              </c:strCache>
            </c:strRef>
          </c:cat>
          <c:val>
            <c:numRef>
              <c:f>'[新建 XLSX 工作表.xlsx]Sheet1'!$B$2:$B$8</c:f>
              <c:numCache>
                <c:formatCode>General</c:formatCode>
                <c:ptCount val="7"/>
                <c:pt idx="0">
                  <c:v>1</c:v>
                </c:pt>
                <c:pt idx="1">
                  <c:v>27</c:v>
                </c:pt>
                <c:pt idx="2">
                  <c:v>4</c:v>
                </c:pt>
                <c:pt idx="3">
                  <c:v>7</c:v>
                </c:pt>
                <c:pt idx="4">
                  <c:v>7</c:v>
                </c:pt>
                <c:pt idx="5">
                  <c:v>26</c:v>
                </c:pt>
                <c:pt idx="6">
                  <c:v>13</c:v>
                </c:pt>
              </c:numCache>
            </c:numRef>
          </c:val>
        </c:ser>
        <c:ser>
          <c:idx val="1"/>
          <c:order val="1"/>
          <c:tx>
            <c:strRef>
              <c:f>'[新建 XLSX 工作表.xlsx]Sheet1'!$C$1</c:f>
              <c:strCache>
                <c:ptCount val="1"/>
                <c:pt idx="0">
                  <c:v>2022年发现问题企业数量（家）</c:v>
                </c:pt>
              </c:strCache>
            </c:strRef>
          </c:tx>
          <c:spPr>
            <a:solidFill>
              <a:srgbClr val="C00000"/>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XLSX 工作表.xlsx]Sheet1'!$A$2:$A$8</c:f>
              <c:strCache>
                <c:ptCount val="7"/>
                <c:pt idx="0">
                  <c:v>生产设备</c:v>
                </c:pt>
                <c:pt idx="1">
                  <c:v>生产设施</c:v>
                </c:pt>
                <c:pt idx="2">
                  <c:v>检验设备</c:v>
                </c:pt>
                <c:pt idx="3">
                  <c:v>检验设施</c:v>
                </c:pt>
                <c:pt idx="4">
                  <c:v>原材料验证</c:v>
                </c:pt>
                <c:pt idx="5">
                  <c:v>出厂检验</c:v>
                </c:pt>
                <c:pt idx="6">
                  <c:v>其他</c:v>
                </c:pt>
              </c:strCache>
            </c:strRef>
          </c:cat>
          <c:val>
            <c:numRef>
              <c:f>'[新建 XLSX 工作表.xlsx]Sheet1'!$C$2:$C$8</c:f>
              <c:numCache>
                <c:formatCode>General</c:formatCode>
                <c:ptCount val="7"/>
                <c:pt idx="0">
                  <c:v>0</c:v>
                </c:pt>
                <c:pt idx="1">
                  <c:v>20</c:v>
                </c:pt>
                <c:pt idx="2">
                  <c:v>5</c:v>
                </c:pt>
                <c:pt idx="3">
                  <c:v>9</c:v>
                </c:pt>
                <c:pt idx="4">
                  <c:v>6</c:v>
                </c:pt>
                <c:pt idx="5">
                  <c:v>19</c:v>
                </c:pt>
                <c:pt idx="6">
                  <c:v>10</c:v>
                </c:pt>
              </c:numCache>
            </c:numRef>
          </c:val>
        </c:ser>
        <c:ser>
          <c:idx val="2"/>
          <c:order val="2"/>
          <c:tx>
            <c:strRef>
              <c:f>'[新建 XLSX 工作表.xlsx]Sheet1'!$D$1</c:f>
              <c:strCache>
                <c:ptCount val="1"/>
                <c:pt idx="0">
                  <c:v>2023年发现问题企业数量（家）</c:v>
                </c:pt>
              </c:strCache>
            </c:strRef>
          </c:tx>
          <c:spPr>
            <a:solidFill>
              <a:schemeClr val="accent6"/>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'[新建 XLSX 工作表.xlsx]Sheet1'!$A$2:$A$8</c:f>
              <c:strCache>
                <c:ptCount val="7"/>
                <c:pt idx="0">
                  <c:v>生产设备</c:v>
                </c:pt>
                <c:pt idx="1">
                  <c:v>生产设施</c:v>
                </c:pt>
                <c:pt idx="2">
                  <c:v>检验设备</c:v>
                </c:pt>
                <c:pt idx="3">
                  <c:v>检验设施</c:v>
                </c:pt>
                <c:pt idx="4">
                  <c:v>原材料验证</c:v>
                </c:pt>
                <c:pt idx="5">
                  <c:v>出厂检验</c:v>
                </c:pt>
                <c:pt idx="6">
                  <c:v>其他</c:v>
                </c:pt>
              </c:strCache>
            </c:strRef>
          </c:cat>
          <c:val>
            <c:numRef>
              <c:f>'[新建 XLSX 工作表.xlsx]Sheet1'!$D$2:$D$8</c:f>
              <c:numCache>
                <c:formatCode>General</c:formatCode>
                <c:ptCount val="7"/>
                <c:pt idx="0">
                  <c:v>0</c:v>
                </c:pt>
                <c:pt idx="1">
                  <c:v>16</c:v>
                </c:pt>
                <c:pt idx="2">
                  <c:v>2</c:v>
                </c:pt>
                <c:pt idx="3">
                  <c:v>6</c:v>
                </c:pt>
                <c:pt idx="4">
                  <c:v>4</c:v>
                </c:pt>
                <c:pt idx="5">
                  <c:v>12</c:v>
                </c:pt>
                <c:pt idx="6">
                  <c:v>7</c:v>
                </c:pt>
              </c:numCache>
            </c:numRef>
          </c:val>
        </c:ser>
        <c:dLbls>
          <c:showLegendKey val="0"/>
          <c:showVal val="1"/>
          <c:showCatName val="0"/>
          <c:showSerName val="0"/>
          <c:showPercent val="0"/>
          <c:showBubbleSize val="0"/>
        </c:dLbls>
        <c:gapWidth val="219"/>
        <c:overlap val="-27"/>
        <c:axId val="19977193"/>
        <c:axId val="356568446"/>
      </c:barChart>
      <c:catAx>
        <c:axId val="1997719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6568446"/>
        <c:crosses val="autoZero"/>
        <c:auto val="1"/>
        <c:lblAlgn val="ctr"/>
        <c:lblOffset val="100"/>
        <c:noMultiLvlLbl val="0"/>
      </c:catAx>
      <c:valAx>
        <c:axId val="35656844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977193"/>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3132</Words>
  <Characters>3226</Characters>
  <Lines>0</Lines>
  <Paragraphs>0</Paragraphs>
  <TotalTime>1</TotalTime>
  <ScaleCrop>false</ScaleCrop>
  <LinksUpToDate>false</LinksUpToDate>
  <CharactersWithSpaces>3245</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2021-05-25T03:14:00Z</dcterms:created>
  <dc:creator>刘</dc:creator>
  <cp:lastModifiedBy>XK01-020</cp:lastModifiedBy>
  <cp:lastPrinted>2023-08-07T01:16:00Z</cp:lastPrinted>
  <dcterms:modified xsi:type="dcterms:W3CDTF">2024-07-26T03:43:22Z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328285627186459B886848D9C4760D22_13</vt:lpwstr>
  </property>
</Properties>
</file>